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F2C" w:rsidRDefault="00AF5F2C" w:rsidP="00A0753B">
      <w:pPr>
        <w:rPr>
          <w:rFonts w:asciiTheme="minorHAnsi" w:hAnsiTheme="minorHAnsi"/>
          <w:b/>
          <w:noProof/>
          <w:sz w:val="28"/>
          <w:szCs w:val="28"/>
          <w:lang w:val="en-GB" w:eastAsia="en-GB"/>
        </w:rPr>
      </w:pPr>
    </w:p>
    <w:p w:rsidR="00AF5F2C" w:rsidRPr="00405AD6" w:rsidRDefault="00AF5F2C" w:rsidP="00AF5F2C">
      <w:pPr>
        <w:jc w:val="center"/>
        <w:rPr>
          <w:rFonts w:asciiTheme="minorHAnsi" w:hAnsiTheme="minorHAnsi"/>
          <w:b/>
          <w:sz w:val="40"/>
          <w:szCs w:val="40"/>
        </w:rPr>
      </w:pPr>
      <w:r w:rsidRPr="00405AD6">
        <w:rPr>
          <w:rFonts w:asciiTheme="minorHAnsi" w:hAnsiTheme="minorHAnsi"/>
          <w:b/>
          <w:noProof/>
          <w:sz w:val="40"/>
          <w:szCs w:val="40"/>
          <w:lang w:val="en-GB" w:eastAsia="en-GB"/>
        </w:rPr>
        <w:drawing>
          <wp:inline distT="0" distB="0" distL="0" distR="0" wp14:anchorId="1F975893" wp14:editId="0C2DCB3C">
            <wp:extent cx="2903220" cy="2903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220" cy="2903220"/>
                    </a:xfrm>
                    <a:prstGeom prst="rect">
                      <a:avLst/>
                    </a:prstGeom>
                  </pic:spPr>
                </pic:pic>
              </a:graphicData>
            </a:graphic>
          </wp:inline>
        </w:drawing>
      </w:r>
    </w:p>
    <w:p w:rsidR="00AF5F2C" w:rsidRPr="00405AD6" w:rsidRDefault="00AF5F2C" w:rsidP="00AF5F2C">
      <w:pPr>
        <w:jc w:val="center"/>
        <w:rPr>
          <w:rFonts w:asciiTheme="minorHAnsi" w:hAnsiTheme="minorHAnsi"/>
          <w:b/>
          <w:sz w:val="96"/>
          <w:szCs w:val="96"/>
        </w:rPr>
      </w:pPr>
      <w:r>
        <w:rPr>
          <w:rFonts w:asciiTheme="minorHAnsi" w:hAnsiTheme="minorHAnsi"/>
          <w:b/>
          <w:sz w:val="96"/>
          <w:szCs w:val="96"/>
        </w:rPr>
        <w:t>PE and Sports</w:t>
      </w:r>
      <w:r w:rsidRPr="00405AD6">
        <w:rPr>
          <w:rFonts w:asciiTheme="minorHAnsi" w:hAnsiTheme="minorHAnsi"/>
          <w:b/>
          <w:sz w:val="96"/>
          <w:szCs w:val="96"/>
        </w:rPr>
        <w:t xml:space="preserve"> Premium</w:t>
      </w:r>
    </w:p>
    <w:p w:rsidR="00AF5F2C" w:rsidRPr="00405AD6" w:rsidRDefault="00AF5F2C" w:rsidP="00AF5F2C">
      <w:pPr>
        <w:jc w:val="center"/>
        <w:rPr>
          <w:rFonts w:asciiTheme="minorHAnsi" w:hAnsiTheme="minorHAnsi"/>
          <w:b/>
          <w:sz w:val="96"/>
          <w:szCs w:val="96"/>
        </w:rPr>
      </w:pPr>
    </w:p>
    <w:p w:rsidR="00AF5F2C" w:rsidRPr="00405AD6" w:rsidRDefault="003E264B" w:rsidP="00AF5F2C">
      <w:pPr>
        <w:jc w:val="center"/>
        <w:rPr>
          <w:rFonts w:asciiTheme="minorHAnsi" w:hAnsiTheme="minorHAnsi"/>
          <w:b/>
          <w:sz w:val="40"/>
          <w:szCs w:val="40"/>
        </w:rPr>
      </w:pPr>
      <w:r>
        <w:rPr>
          <w:rFonts w:asciiTheme="minorHAnsi" w:hAnsiTheme="minorHAnsi"/>
          <w:b/>
          <w:sz w:val="40"/>
          <w:szCs w:val="40"/>
        </w:rPr>
        <w:t>2019-20</w:t>
      </w:r>
      <w:r w:rsidR="00AF5F2C" w:rsidRPr="00405AD6">
        <w:rPr>
          <w:rFonts w:asciiTheme="minorHAnsi" w:hAnsiTheme="minorHAnsi"/>
          <w:b/>
          <w:sz w:val="40"/>
          <w:szCs w:val="40"/>
        </w:rPr>
        <w:t xml:space="preserve"> Evaluation of expenditure and impact</w:t>
      </w:r>
    </w:p>
    <w:p w:rsidR="00AF5F2C" w:rsidRDefault="00AF5F2C" w:rsidP="00AF5F2C">
      <w:pPr>
        <w:jc w:val="center"/>
        <w:rPr>
          <w:rFonts w:asciiTheme="minorHAnsi" w:hAnsiTheme="minorHAnsi"/>
          <w:b/>
          <w:sz w:val="40"/>
          <w:szCs w:val="40"/>
        </w:rPr>
      </w:pPr>
    </w:p>
    <w:p w:rsidR="00AF5F2C" w:rsidRPr="00405AD6" w:rsidRDefault="003E264B" w:rsidP="00AF5F2C">
      <w:pPr>
        <w:jc w:val="center"/>
        <w:rPr>
          <w:rFonts w:asciiTheme="minorHAnsi" w:hAnsiTheme="minorHAnsi"/>
          <w:b/>
          <w:sz w:val="40"/>
          <w:szCs w:val="40"/>
        </w:rPr>
      </w:pPr>
      <w:r>
        <w:rPr>
          <w:rFonts w:asciiTheme="minorHAnsi" w:hAnsiTheme="minorHAnsi"/>
          <w:b/>
          <w:sz w:val="40"/>
          <w:szCs w:val="40"/>
        </w:rPr>
        <w:t xml:space="preserve"> 2020</w:t>
      </w:r>
      <w:r w:rsidR="0028536A">
        <w:rPr>
          <w:rFonts w:asciiTheme="minorHAnsi" w:hAnsiTheme="minorHAnsi"/>
          <w:b/>
          <w:sz w:val="40"/>
          <w:szCs w:val="40"/>
        </w:rPr>
        <w:t>-2</w:t>
      </w:r>
      <w:r>
        <w:rPr>
          <w:rFonts w:asciiTheme="minorHAnsi" w:hAnsiTheme="minorHAnsi"/>
          <w:b/>
          <w:sz w:val="40"/>
          <w:szCs w:val="40"/>
        </w:rPr>
        <w:t>1</w:t>
      </w:r>
      <w:r w:rsidR="00AF5F2C" w:rsidRPr="00405AD6">
        <w:rPr>
          <w:rFonts w:asciiTheme="minorHAnsi" w:hAnsiTheme="minorHAnsi"/>
          <w:b/>
          <w:sz w:val="40"/>
          <w:szCs w:val="40"/>
        </w:rPr>
        <w:t xml:space="preserve"> </w:t>
      </w:r>
      <w:r w:rsidR="0010552A" w:rsidRPr="00405AD6">
        <w:rPr>
          <w:rFonts w:asciiTheme="minorHAnsi" w:hAnsiTheme="minorHAnsi"/>
          <w:b/>
          <w:sz w:val="40"/>
          <w:szCs w:val="40"/>
        </w:rPr>
        <w:t>proposed</w:t>
      </w:r>
      <w:r w:rsidR="00AF5F2C" w:rsidRPr="00405AD6">
        <w:rPr>
          <w:rFonts w:asciiTheme="minorHAnsi" w:hAnsiTheme="minorHAnsi"/>
          <w:b/>
          <w:sz w:val="40"/>
          <w:szCs w:val="40"/>
        </w:rPr>
        <w:t xml:space="preserve"> areas of focus for objectives</w:t>
      </w:r>
    </w:p>
    <w:p w:rsidR="00AF5F2C" w:rsidRPr="00405AD6" w:rsidRDefault="00AF5F2C" w:rsidP="00AF5F2C">
      <w:pPr>
        <w:jc w:val="center"/>
        <w:rPr>
          <w:rFonts w:asciiTheme="minorHAnsi" w:hAnsiTheme="minorHAnsi"/>
          <w:b/>
          <w:sz w:val="16"/>
          <w:szCs w:val="16"/>
        </w:rPr>
      </w:pPr>
    </w:p>
    <w:p w:rsidR="00AF5F2C" w:rsidRPr="00405AD6" w:rsidRDefault="00AF5F2C" w:rsidP="00AF5F2C">
      <w:pPr>
        <w:rPr>
          <w:rFonts w:asciiTheme="minorHAnsi" w:hAnsiTheme="minorHAnsi"/>
          <w:b/>
        </w:rPr>
      </w:pPr>
    </w:p>
    <w:p w:rsidR="00AF5F2C" w:rsidRDefault="00AF5F2C" w:rsidP="00AF5F2C">
      <w:pPr>
        <w:rPr>
          <w:rFonts w:asciiTheme="minorHAnsi" w:hAnsiTheme="minorHAnsi"/>
          <w:b/>
        </w:rPr>
      </w:pPr>
    </w:p>
    <w:p w:rsidR="00AF5F2C" w:rsidRDefault="00AF5F2C">
      <w:pPr>
        <w:spacing w:after="160" w:line="259" w:lineRule="auto"/>
        <w:rPr>
          <w:rFonts w:asciiTheme="minorHAnsi" w:hAnsiTheme="minorHAnsi"/>
          <w:b/>
          <w:noProof/>
          <w:sz w:val="28"/>
          <w:szCs w:val="28"/>
          <w:lang w:val="en-GB" w:eastAsia="en-GB"/>
        </w:rPr>
      </w:pPr>
    </w:p>
    <w:p w:rsidR="00A0753B" w:rsidRPr="00AF5F2C" w:rsidRDefault="00A0753B" w:rsidP="00A0753B">
      <w:pPr>
        <w:rPr>
          <w:rFonts w:asciiTheme="minorHAnsi" w:hAnsiTheme="minorHAnsi"/>
          <w:b/>
          <w:sz w:val="28"/>
          <w:szCs w:val="28"/>
        </w:rPr>
      </w:pPr>
      <w:r w:rsidRPr="00AF5F2C">
        <w:rPr>
          <w:rFonts w:asciiTheme="minorHAnsi" w:hAnsiTheme="minorHAnsi"/>
          <w:b/>
          <w:sz w:val="28"/>
          <w:szCs w:val="28"/>
        </w:rPr>
        <w:t xml:space="preserve">Use of </w:t>
      </w:r>
      <w:r w:rsidR="00A02EBF" w:rsidRPr="00AF5F2C">
        <w:rPr>
          <w:rFonts w:asciiTheme="minorHAnsi" w:hAnsiTheme="minorHAnsi"/>
          <w:b/>
          <w:sz w:val="28"/>
          <w:szCs w:val="28"/>
        </w:rPr>
        <w:t xml:space="preserve">PE and </w:t>
      </w:r>
      <w:r w:rsidRPr="00AF5F2C">
        <w:rPr>
          <w:rFonts w:asciiTheme="minorHAnsi" w:hAnsiTheme="minorHAnsi"/>
          <w:b/>
          <w:sz w:val="28"/>
          <w:szCs w:val="28"/>
        </w:rPr>
        <w:t xml:space="preserve">Sports Premium </w:t>
      </w:r>
      <w:r w:rsidR="00BB08C0" w:rsidRPr="00AF5F2C">
        <w:rPr>
          <w:rFonts w:asciiTheme="minorHAnsi" w:hAnsiTheme="minorHAnsi"/>
          <w:b/>
          <w:sz w:val="28"/>
          <w:szCs w:val="28"/>
        </w:rPr>
        <w:t xml:space="preserve">Report </w:t>
      </w:r>
      <w:r w:rsidR="003E264B">
        <w:rPr>
          <w:rFonts w:asciiTheme="minorHAnsi" w:hAnsiTheme="minorHAnsi"/>
          <w:b/>
          <w:sz w:val="28"/>
          <w:szCs w:val="28"/>
        </w:rPr>
        <w:t>2019-20</w:t>
      </w:r>
    </w:p>
    <w:p w:rsidR="00A0753B" w:rsidRPr="00A02EBF" w:rsidRDefault="00A0753B" w:rsidP="00A0753B">
      <w:pPr>
        <w:rPr>
          <w:rFonts w:asciiTheme="minorHAnsi" w:hAnsiTheme="minorHAnsi"/>
          <w:sz w:val="40"/>
          <w:szCs w:val="40"/>
        </w:rPr>
      </w:pPr>
    </w:p>
    <w:p w:rsidR="00A0753B" w:rsidRPr="00A02EBF" w:rsidRDefault="00A0753B" w:rsidP="00A0753B">
      <w:pPr>
        <w:rPr>
          <w:rFonts w:asciiTheme="minorHAnsi" w:hAnsiTheme="minorHAnsi"/>
          <w:b/>
          <w:sz w:val="28"/>
          <w:szCs w:val="28"/>
        </w:rPr>
      </w:pPr>
      <w:r w:rsidRPr="00A02EBF">
        <w:rPr>
          <w:rFonts w:asciiTheme="minorHAnsi" w:hAnsiTheme="minorHAnsi"/>
          <w:b/>
          <w:sz w:val="28"/>
          <w:szCs w:val="28"/>
        </w:rPr>
        <w:t>Background</w:t>
      </w:r>
    </w:p>
    <w:p w:rsidR="00A0753B" w:rsidRPr="00E11E26" w:rsidRDefault="00A0753B" w:rsidP="00A0753B">
      <w:pPr>
        <w:rPr>
          <w:rFonts w:asciiTheme="minorHAnsi" w:hAnsiTheme="minorHAnsi"/>
        </w:rPr>
      </w:pPr>
    </w:p>
    <w:p w:rsidR="00D6176C" w:rsidRPr="00D6176C" w:rsidRDefault="00D6176C" w:rsidP="00D6176C">
      <w:pPr>
        <w:jc w:val="both"/>
        <w:rPr>
          <w:rFonts w:asciiTheme="minorHAnsi" w:hAnsiTheme="minorHAnsi"/>
          <w:lang w:val="en-GB" w:eastAsia="en-GB"/>
        </w:rPr>
      </w:pPr>
      <w:r w:rsidRPr="00D6176C">
        <w:rPr>
          <w:rFonts w:asciiTheme="minorHAnsi" w:hAnsiTheme="minorHAnsi"/>
          <w:lang w:val="en-GB" w:eastAsia="en-GB"/>
        </w:rPr>
        <w:t xml:space="preserve">All young people should have the opportunity to live healthy and active lives. A positive experience of sport and physical activity at a young age can build a lifetime </w:t>
      </w:r>
      <w:r w:rsidRPr="00D6176C">
        <w:rPr>
          <w:rFonts w:asciiTheme="minorHAnsi" w:hAnsiTheme="minorHAnsi"/>
          <w:lang w:val="en-GB" w:eastAsia="en-GB"/>
        </w:rPr>
        <w:lastRenderedPageBreak/>
        <w:t>habit of participation, and is central to meeting the government’s ambitions for a world-class education system.</w:t>
      </w:r>
    </w:p>
    <w:p w:rsidR="00D6176C" w:rsidRPr="00D6176C" w:rsidRDefault="00D6176C" w:rsidP="00D6176C">
      <w:pPr>
        <w:jc w:val="both"/>
        <w:rPr>
          <w:rFonts w:asciiTheme="minorHAnsi" w:hAnsiTheme="minorHAnsi"/>
          <w:lang w:val="en-GB" w:eastAsia="en-GB"/>
        </w:rPr>
      </w:pPr>
    </w:p>
    <w:p w:rsidR="00287CB8" w:rsidRDefault="00D6176C" w:rsidP="00D6176C">
      <w:pPr>
        <w:jc w:val="both"/>
        <w:rPr>
          <w:rFonts w:asciiTheme="minorHAnsi" w:hAnsiTheme="minorHAnsi"/>
          <w:lang w:val="en-GB" w:eastAsia="en-GB"/>
        </w:rPr>
      </w:pPr>
      <w:r w:rsidRPr="00D6176C">
        <w:rPr>
          <w:rFonts w:asciiTheme="minorHAnsi" w:hAnsiTheme="minorHAnsi"/>
          <w:lang w:val="en-GB" w:eastAsia="en-GB"/>
        </w:rPr>
        <w:t>Physical activity has numerous benefits for children and young people’s physical health, as well as their mental wellbeing (increasing self-esteem and emotional wellbeing and lowering anxiety and depression), and children who are physically active are happier, more resilient and more trusting of their peers. Ensuring that pupils have access to sufficient daily activity can also have wider benefits for pupils and schools, improving behaviour as well as enhancing academic achievement.</w:t>
      </w:r>
    </w:p>
    <w:p w:rsidR="00287CB8" w:rsidRDefault="00287CB8" w:rsidP="00D6176C">
      <w:pPr>
        <w:jc w:val="both"/>
        <w:rPr>
          <w:rFonts w:asciiTheme="minorHAnsi" w:hAnsiTheme="minorHAnsi"/>
          <w:lang w:val="en-GB" w:eastAsia="en-GB"/>
        </w:rPr>
      </w:pPr>
    </w:p>
    <w:p w:rsidR="00287CB8" w:rsidRDefault="00287CB8" w:rsidP="00287CB8">
      <w:pPr>
        <w:shd w:val="clear" w:color="auto" w:fill="FFFFFF"/>
        <w:rPr>
          <w:rFonts w:asciiTheme="minorHAnsi" w:hAnsiTheme="minorHAnsi" w:cstheme="minorHAnsi"/>
          <w:color w:val="0B0C0C"/>
          <w:szCs w:val="29"/>
          <w:lang w:val="en-GB" w:eastAsia="en-GB"/>
        </w:rPr>
      </w:pPr>
      <w:r w:rsidRPr="00287CB8">
        <w:rPr>
          <w:rFonts w:asciiTheme="minorHAnsi" w:hAnsiTheme="minorHAnsi" w:cstheme="minorHAnsi"/>
          <w:color w:val="0B0C0C"/>
          <w:szCs w:val="29"/>
          <w:lang w:val="en-GB" w:eastAsia="en-GB"/>
        </w:rPr>
        <w:t>The PE and Sport Premium can help primary schools to achieve this aim, providing primary schools with £320m of government funding to make additional and sustainable improvements to the quality of the PE, physical activity and sport offered through their core budgets. It is allocated directly to schools so they have the flexibility to use it in the way that works best for their pupils. The </w:t>
      </w:r>
      <w:hyperlink r:id="rId9" w:history="1">
        <w:r w:rsidRPr="00287CB8">
          <w:rPr>
            <w:rFonts w:asciiTheme="minorHAnsi" w:hAnsiTheme="minorHAnsi" w:cstheme="minorHAnsi"/>
            <w:color w:val="4C2C92"/>
            <w:szCs w:val="29"/>
            <w:u w:val="single"/>
            <w:bdr w:val="none" w:sz="0" w:space="0" w:color="auto" w:frame="1"/>
            <w:lang w:val="en-GB" w:eastAsia="en-GB"/>
          </w:rPr>
          <w:t>PE and Sport Premium survey</w:t>
        </w:r>
      </w:hyperlink>
      <w:r w:rsidRPr="00287CB8">
        <w:rPr>
          <w:rFonts w:asciiTheme="minorHAnsi" w:hAnsiTheme="minorHAnsi" w:cstheme="minorHAnsi"/>
          <w:color w:val="0B0C0C"/>
          <w:szCs w:val="29"/>
          <w:lang w:val="en-GB" w:eastAsia="en-GB"/>
        </w:rPr>
        <w:t> highlighted the significant impact which PE and Sport has had in many primary schools across England.</w:t>
      </w:r>
    </w:p>
    <w:p w:rsidR="00287CB8" w:rsidRPr="00287CB8" w:rsidRDefault="00287CB8" w:rsidP="00287CB8">
      <w:pPr>
        <w:shd w:val="clear" w:color="auto" w:fill="FFFFFF"/>
        <w:rPr>
          <w:rFonts w:asciiTheme="minorHAnsi" w:hAnsiTheme="minorHAnsi" w:cstheme="minorHAnsi"/>
          <w:color w:val="0B0C0C"/>
          <w:szCs w:val="29"/>
          <w:lang w:val="en-GB" w:eastAsia="en-GB"/>
        </w:rPr>
      </w:pPr>
    </w:p>
    <w:p w:rsidR="00287CB8" w:rsidRPr="00287CB8" w:rsidRDefault="00287CB8" w:rsidP="00287CB8">
      <w:pPr>
        <w:shd w:val="clear" w:color="auto" w:fill="FFFFFF"/>
        <w:rPr>
          <w:rFonts w:asciiTheme="minorHAnsi" w:hAnsiTheme="minorHAnsi" w:cstheme="minorHAnsi"/>
          <w:color w:val="0B0C0C"/>
          <w:szCs w:val="29"/>
          <w:lang w:val="en-GB" w:eastAsia="en-GB"/>
        </w:rPr>
      </w:pPr>
      <w:r w:rsidRPr="00287CB8">
        <w:rPr>
          <w:rFonts w:asciiTheme="minorHAnsi" w:hAnsiTheme="minorHAnsi" w:cstheme="minorHAnsi"/>
          <w:color w:val="0B0C0C"/>
          <w:szCs w:val="29"/>
          <w:lang w:val="en-GB" w:eastAsia="en-GB"/>
        </w:rPr>
        <w:t>Ofsted’s new </w:t>
      </w:r>
      <w:hyperlink r:id="rId10" w:history="1">
        <w:r w:rsidRPr="00287CB8">
          <w:rPr>
            <w:rFonts w:asciiTheme="minorHAnsi" w:hAnsiTheme="minorHAnsi" w:cstheme="minorHAnsi"/>
            <w:color w:val="0B0C0C"/>
            <w:szCs w:val="29"/>
            <w:bdr w:val="none" w:sz="0" w:space="0" w:color="auto" w:frame="1"/>
            <w:lang w:val="en-GB" w:eastAsia="en-GB"/>
          </w:rPr>
          <w:t>Inspection Framework</w:t>
        </w:r>
      </w:hyperlink>
      <w:r w:rsidRPr="00287CB8">
        <w:rPr>
          <w:rFonts w:asciiTheme="minorHAnsi" w:hAnsiTheme="minorHAnsi" w:cstheme="minorHAnsi"/>
          <w:color w:val="0B0C0C"/>
          <w:szCs w:val="29"/>
          <w:lang w:val="en-GB" w:eastAsia="en-GB"/>
        </w:rPr>
        <w:t>, which came into effect from September 2019, gives greater recognition to schools’ work to support the personal development of pupils, such as the opportunities they have to learn about eating healthily and maintaining an active lifestyle. Inspectors will expect to see schools delivering a broad, ambitious education, including opportunities to be active during the school day and through extra-curricular activities. Schools should consider how they use their PE and Sport Premium to support this.</w:t>
      </w:r>
    </w:p>
    <w:p w:rsidR="00287CB8" w:rsidRPr="00287CB8" w:rsidRDefault="00287CB8" w:rsidP="00287CB8">
      <w:pPr>
        <w:shd w:val="clear" w:color="auto" w:fill="FFFFFF"/>
        <w:spacing w:before="300" w:after="300"/>
        <w:rPr>
          <w:rFonts w:asciiTheme="minorHAnsi" w:hAnsiTheme="minorHAnsi" w:cstheme="minorHAnsi"/>
          <w:color w:val="0B0C0C"/>
          <w:szCs w:val="29"/>
          <w:lang w:val="en-GB" w:eastAsia="en-GB"/>
        </w:rPr>
      </w:pPr>
      <w:r w:rsidRPr="00287CB8">
        <w:rPr>
          <w:rFonts w:asciiTheme="minorHAnsi" w:hAnsiTheme="minorHAnsi" w:cstheme="minorHAnsi"/>
          <w:color w:val="0B0C0C"/>
          <w:szCs w:val="29"/>
          <w:lang w:val="en-GB" w:eastAsia="en-GB"/>
        </w:rPr>
        <w:t>Schools must use the funding to make additional and sustainable improvements to the quality of their physical education (PE), physical activity and sport.</w:t>
      </w:r>
    </w:p>
    <w:p w:rsidR="00287CB8" w:rsidRDefault="00287CB8" w:rsidP="00D6176C">
      <w:pPr>
        <w:jc w:val="both"/>
        <w:rPr>
          <w:rFonts w:asciiTheme="minorHAnsi" w:hAnsiTheme="minorHAnsi"/>
          <w:lang w:val="en-GB" w:eastAsia="en-GB"/>
        </w:rPr>
      </w:pPr>
    </w:p>
    <w:p w:rsidR="003A0184" w:rsidRPr="00AE0DAF" w:rsidRDefault="00A0753B" w:rsidP="00D6176C">
      <w:pPr>
        <w:jc w:val="both"/>
        <w:rPr>
          <w:rFonts w:asciiTheme="minorHAnsi" w:hAnsiTheme="minorHAnsi"/>
          <w:b/>
        </w:rPr>
      </w:pPr>
      <w:r w:rsidRPr="00AE0DAF">
        <w:rPr>
          <w:rFonts w:asciiTheme="minorHAnsi" w:hAnsiTheme="minorHAnsi"/>
          <w:b/>
        </w:rPr>
        <w:t>In 201</w:t>
      </w:r>
      <w:r w:rsidR="003E264B">
        <w:rPr>
          <w:rFonts w:asciiTheme="minorHAnsi" w:hAnsiTheme="minorHAnsi"/>
          <w:b/>
        </w:rPr>
        <w:t>9-20</w:t>
      </w:r>
      <w:r w:rsidR="0010552A" w:rsidRPr="00AE0DAF">
        <w:rPr>
          <w:rFonts w:asciiTheme="minorHAnsi" w:hAnsiTheme="minorHAnsi"/>
          <w:b/>
        </w:rPr>
        <w:t xml:space="preserve"> Brookfields School received £</w:t>
      </w:r>
      <w:r w:rsidR="008B64AF" w:rsidRPr="00BB0E23">
        <w:rPr>
          <w:rFonts w:asciiTheme="minorHAnsi" w:hAnsiTheme="minorHAnsi"/>
          <w:b/>
        </w:rPr>
        <w:t>16,7</w:t>
      </w:r>
      <w:r w:rsidR="00BB0E23" w:rsidRPr="00BB0E23">
        <w:rPr>
          <w:rFonts w:asciiTheme="minorHAnsi" w:hAnsiTheme="minorHAnsi"/>
          <w:b/>
        </w:rPr>
        <w:t>50</w:t>
      </w:r>
    </w:p>
    <w:p w:rsidR="0010552A" w:rsidRDefault="0010552A" w:rsidP="00A0753B">
      <w:pPr>
        <w:jc w:val="both"/>
        <w:rPr>
          <w:rFonts w:asciiTheme="minorHAnsi" w:hAnsiTheme="minorHAnsi"/>
        </w:rPr>
      </w:pPr>
    </w:p>
    <w:p w:rsidR="003F0A21" w:rsidRPr="00287CB8" w:rsidRDefault="00287CB8" w:rsidP="00287CB8">
      <w:pPr>
        <w:shd w:val="clear" w:color="auto" w:fill="FFFFFF"/>
        <w:spacing w:before="300" w:after="300"/>
        <w:rPr>
          <w:rFonts w:asciiTheme="minorHAnsi" w:hAnsiTheme="minorHAnsi" w:cstheme="minorHAnsi"/>
          <w:color w:val="0B0C0C"/>
          <w:szCs w:val="29"/>
          <w:lang w:val="en-GB" w:eastAsia="en-GB"/>
        </w:rPr>
      </w:pPr>
      <w:r w:rsidRPr="00287CB8">
        <w:rPr>
          <w:rFonts w:asciiTheme="minorHAnsi" w:hAnsiTheme="minorHAnsi" w:cstheme="minorHAnsi"/>
          <w:color w:val="0B0C0C"/>
          <w:szCs w:val="29"/>
          <w:lang w:val="en-GB" w:eastAsia="en-GB"/>
        </w:rPr>
        <w:t>Schools receive PE and sport premium funding based on the number of pupils in years 1 to 6.</w:t>
      </w:r>
      <w:r>
        <w:rPr>
          <w:rFonts w:asciiTheme="minorHAnsi" w:hAnsiTheme="minorHAnsi" w:cstheme="minorHAnsi"/>
          <w:color w:val="0B0C0C"/>
          <w:szCs w:val="29"/>
          <w:lang w:val="en-GB" w:eastAsia="en-GB"/>
        </w:rPr>
        <w:t xml:space="preserve"> </w:t>
      </w:r>
      <w:r w:rsidRPr="00287CB8">
        <w:rPr>
          <w:rFonts w:asciiTheme="minorHAnsi" w:hAnsiTheme="minorHAnsi" w:cstheme="minorHAnsi"/>
          <w:color w:val="0B0C0C"/>
          <w:szCs w:val="29"/>
          <w:lang w:val="en-GB" w:eastAsia="en-GB"/>
        </w:rPr>
        <w:t>In cases where schools don’t follow year groups (for example, in some special schools), pupils aged 5 to 10 attract the funding.</w:t>
      </w:r>
      <w:r>
        <w:rPr>
          <w:rFonts w:asciiTheme="minorHAnsi" w:hAnsiTheme="minorHAnsi" w:cstheme="minorHAnsi"/>
          <w:color w:val="0B0C0C"/>
          <w:szCs w:val="29"/>
          <w:lang w:val="en-GB" w:eastAsia="en-GB"/>
        </w:rPr>
        <w:t xml:space="preserve"> </w:t>
      </w:r>
      <w:r w:rsidRPr="00287CB8">
        <w:rPr>
          <w:rFonts w:asciiTheme="minorHAnsi" w:hAnsiTheme="minorHAnsi" w:cstheme="minorHAnsi"/>
          <w:color w:val="0B0C0C"/>
          <w:szCs w:val="29"/>
          <w:lang w:val="en-GB" w:eastAsia="en-GB"/>
        </w:rPr>
        <w:t>In most cases, we determine how many pupils in your school attract the funding using data from the January 2019 school census.</w:t>
      </w:r>
      <w:r>
        <w:rPr>
          <w:rFonts w:asciiTheme="minorHAnsi" w:hAnsiTheme="minorHAnsi" w:cstheme="minorHAnsi"/>
          <w:color w:val="0B0C0C"/>
          <w:szCs w:val="29"/>
          <w:lang w:val="en-GB" w:eastAsia="en-GB"/>
        </w:rPr>
        <w:t xml:space="preserve">  </w:t>
      </w:r>
      <w:r w:rsidRPr="00287CB8">
        <w:rPr>
          <w:rFonts w:asciiTheme="minorHAnsi" w:hAnsiTheme="minorHAnsi" w:cstheme="minorHAnsi"/>
          <w:color w:val="0B0C0C"/>
          <w:szCs w:val="29"/>
          <w:lang w:val="en-GB" w:eastAsia="en-GB"/>
        </w:rPr>
        <w:t>Schools with 17 or more eligible pupils receive £16,000 and an addi</w:t>
      </w:r>
      <w:r>
        <w:rPr>
          <w:rFonts w:asciiTheme="minorHAnsi" w:hAnsiTheme="minorHAnsi" w:cstheme="minorHAnsi"/>
          <w:color w:val="0B0C0C"/>
          <w:szCs w:val="29"/>
          <w:lang w:val="en-GB" w:eastAsia="en-GB"/>
        </w:rPr>
        <w:t>tional payment of £10 per pu</w:t>
      </w:r>
      <w:r w:rsidR="00211D3E">
        <w:rPr>
          <w:rFonts w:asciiTheme="minorHAnsi" w:hAnsiTheme="minorHAnsi"/>
        </w:rPr>
        <w:t>pil.</w:t>
      </w:r>
      <w:r w:rsidR="00D73FBC">
        <w:rPr>
          <w:rFonts w:asciiTheme="minorHAnsi" w:hAnsiTheme="minorHAnsi"/>
        </w:rPr>
        <w:t xml:space="preserve">     </w:t>
      </w:r>
      <w:r w:rsidR="00453AAA">
        <w:rPr>
          <w:rFonts w:asciiTheme="minorHAnsi" w:hAnsiTheme="minorHAnsi"/>
        </w:rPr>
        <w:t xml:space="preserve">              </w:t>
      </w:r>
      <w:r w:rsidR="00D73FBC">
        <w:rPr>
          <w:rFonts w:asciiTheme="minorHAnsi" w:hAnsiTheme="minorHAnsi"/>
        </w:rPr>
        <w:t xml:space="preserve"> </w:t>
      </w:r>
      <w:r w:rsidR="00453AAA">
        <w:rPr>
          <w:rFonts w:asciiTheme="minorHAnsi" w:hAnsiTheme="minorHAnsi"/>
        </w:rPr>
        <w:t xml:space="preserve">      </w:t>
      </w:r>
      <w:r w:rsidR="00D73FBC">
        <w:rPr>
          <w:rFonts w:asciiTheme="minorHAnsi" w:hAnsiTheme="minorHAnsi"/>
        </w:rPr>
        <w:t xml:space="preserve">      </w:t>
      </w:r>
      <w:r w:rsidR="00453AAA">
        <w:rPr>
          <w:rFonts w:asciiTheme="minorHAnsi" w:hAnsiTheme="minorHAnsi"/>
        </w:rPr>
        <w:t xml:space="preserve">    </w:t>
      </w:r>
    </w:p>
    <w:tbl>
      <w:tblPr>
        <w:tblStyle w:val="TableGrid"/>
        <w:tblW w:w="14440" w:type="dxa"/>
        <w:tblInd w:w="-25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
      <w:tblGrid>
        <w:gridCol w:w="2707"/>
        <w:gridCol w:w="4323"/>
        <w:gridCol w:w="3263"/>
        <w:gridCol w:w="2012"/>
        <w:gridCol w:w="2135"/>
      </w:tblGrid>
      <w:tr w:rsidR="00E11E26" w:rsidRPr="00E11E26" w:rsidTr="006F2ECF">
        <w:trPr>
          <w:trHeight w:val="1247"/>
        </w:trPr>
        <w:tc>
          <w:tcPr>
            <w:tcW w:w="7030" w:type="dxa"/>
            <w:gridSpan w:val="2"/>
            <w:tcBorders>
              <w:top w:val="double" w:sz="4" w:space="0" w:color="auto"/>
              <w:bottom w:val="double" w:sz="4" w:space="0" w:color="auto"/>
            </w:tcBorders>
            <w:shd w:val="clear" w:color="auto" w:fill="F3F3F3"/>
          </w:tcPr>
          <w:p w:rsidR="00E11E26" w:rsidRPr="00BB5A9F" w:rsidRDefault="003F0A21" w:rsidP="0010443B">
            <w:pPr>
              <w:rPr>
                <w:rFonts w:asciiTheme="minorHAnsi" w:hAnsiTheme="minorHAnsi"/>
                <w:b/>
                <w:color w:val="FF0000"/>
                <w:sz w:val="32"/>
                <w:szCs w:val="32"/>
              </w:rPr>
            </w:pPr>
            <w:r>
              <w:rPr>
                <w:rFonts w:asciiTheme="minorHAnsi" w:hAnsiTheme="minorHAnsi"/>
                <w:b/>
                <w:noProof/>
                <w:sz w:val="40"/>
                <w:szCs w:val="40"/>
                <w:lang w:val="en-GB"/>
              </w:rPr>
              <w:br w:type="page"/>
            </w:r>
            <w:bookmarkStart w:id="0" w:name="_Hlk482459580"/>
            <w:r w:rsidR="00A02EBF" w:rsidRPr="00BB5A9F">
              <w:rPr>
                <w:rFonts w:asciiTheme="minorHAnsi" w:hAnsiTheme="minorHAnsi"/>
                <w:b/>
                <w:color w:val="FF0000"/>
                <w:sz w:val="32"/>
                <w:szCs w:val="32"/>
              </w:rPr>
              <w:t xml:space="preserve">PE and </w:t>
            </w:r>
            <w:r w:rsidR="00066BB8" w:rsidRPr="00BB5A9F">
              <w:rPr>
                <w:rFonts w:asciiTheme="minorHAnsi" w:hAnsiTheme="minorHAnsi"/>
                <w:b/>
                <w:color w:val="FF0000"/>
                <w:sz w:val="32"/>
                <w:szCs w:val="32"/>
              </w:rPr>
              <w:t xml:space="preserve">SPORTS PREMIUM </w:t>
            </w:r>
            <w:r w:rsidR="0010443B">
              <w:rPr>
                <w:rFonts w:asciiTheme="minorHAnsi" w:hAnsiTheme="minorHAnsi"/>
                <w:b/>
                <w:color w:val="FF0000"/>
                <w:sz w:val="32"/>
                <w:szCs w:val="32"/>
              </w:rPr>
              <w:t>2019-2020</w:t>
            </w:r>
          </w:p>
        </w:tc>
        <w:tc>
          <w:tcPr>
            <w:tcW w:w="3263" w:type="dxa"/>
            <w:tcBorders>
              <w:top w:val="double" w:sz="4" w:space="0" w:color="auto"/>
              <w:bottom w:val="double" w:sz="4" w:space="0" w:color="auto"/>
            </w:tcBorders>
            <w:shd w:val="clear" w:color="auto" w:fill="F3F3F3"/>
          </w:tcPr>
          <w:p w:rsidR="00E11E26" w:rsidRPr="00BB5A9F" w:rsidRDefault="00E11E26" w:rsidP="004953A0">
            <w:pPr>
              <w:rPr>
                <w:rFonts w:asciiTheme="minorHAnsi" w:hAnsiTheme="minorHAnsi"/>
                <w:b/>
                <w:color w:val="FF0000"/>
                <w:sz w:val="32"/>
                <w:szCs w:val="32"/>
              </w:rPr>
            </w:pPr>
          </w:p>
        </w:tc>
        <w:tc>
          <w:tcPr>
            <w:tcW w:w="2012" w:type="dxa"/>
            <w:tcBorders>
              <w:top w:val="double" w:sz="4" w:space="0" w:color="auto"/>
              <w:bottom w:val="double" w:sz="4" w:space="0" w:color="auto"/>
            </w:tcBorders>
            <w:shd w:val="clear" w:color="auto" w:fill="F3F3F3"/>
          </w:tcPr>
          <w:p w:rsidR="00E11E26" w:rsidRPr="00BB5A9F" w:rsidRDefault="00E11E26" w:rsidP="004953A0">
            <w:pPr>
              <w:rPr>
                <w:rFonts w:asciiTheme="minorHAnsi" w:hAnsiTheme="minorHAnsi"/>
                <w:b/>
                <w:color w:val="FF0000"/>
                <w:sz w:val="32"/>
                <w:szCs w:val="32"/>
              </w:rPr>
            </w:pPr>
            <w:r w:rsidRPr="00BB5A9F">
              <w:rPr>
                <w:rFonts w:asciiTheme="minorHAnsi" w:hAnsiTheme="minorHAnsi"/>
                <w:b/>
                <w:color w:val="FF0000"/>
                <w:sz w:val="32"/>
                <w:szCs w:val="32"/>
              </w:rPr>
              <w:t>ALLOCATION</w:t>
            </w:r>
          </w:p>
        </w:tc>
        <w:tc>
          <w:tcPr>
            <w:tcW w:w="2135" w:type="dxa"/>
            <w:tcBorders>
              <w:top w:val="double" w:sz="4" w:space="0" w:color="auto"/>
              <w:bottom w:val="double" w:sz="4" w:space="0" w:color="auto"/>
            </w:tcBorders>
            <w:shd w:val="clear" w:color="auto" w:fill="F3F3F3"/>
          </w:tcPr>
          <w:p w:rsidR="00E11E26" w:rsidRPr="00BB5A9F" w:rsidRDefault="00E11E26" w:rsidP="008B64AF">
            <w:pPr>
              <w:rPr>
                <w:rFonts w:asciiTheme="minorHAnsi" w:hAnsiTheme="minorHAnsi"/>
                <w:b/>
                <w:color w:val="FF0000"/>
                <w:sz w:val="32"/>
                <w:szCs w:val="32"/>
              </w:rPr>
            </w:pPr>
          </w:p>
        </w:tc>
      </w:tr>
      <w:tr w:rsidR="00E11E26" w:rsidRPr="00E11E26" w:rsidTr="006F2ECF">
        <w:trPr>
          <w:trHeight w:val="146"/>
        </w:trPr>
        <w:tc>
          <w:tcPr>
            <w:tcW w:w="2707" w:type="dxa"/>
            <w:tcBorders>
              <w:top w:val="double" w:sz="4" w:space="0" w:color="auto"/>
              <w:bottom w:val="double" w:sz="4" w:space="0" w:color="auto"/>
              <w:right w:val="double" w:sz="4" w:space="0" w:color="auto"/>
            </w:tcBorders>
            <w:shd w:val="clear" w:color="auto" w:fill="F3F3F3"/>
          </w:tcPr>
          <w:p w:rsidR="00E11E26" w:rsidRPr="00E11E26" w:rsidRDefault="00E11E26" w:rsidP="004953A0">
            <w:pPr>
              <w:rPr>
                <w:rFonts w:asciiTheme="minorHAnsi" w:hAnsiTheme="minorHAnsi"/>
                <w:b/>
                <w:sz w:val="22"/>
                <w:szCs w:val="22"/>
              </w:rPr>
            </w:pPr>
            <w:r w:rsidRPr="00E11E26">
              <w:rPr>
                <w:rFonts w:asciiTheme="minorHAnsi" w:hAnsiTheme="minorHAnsi"/>
                <w:b/>
                <w:sz w:val="22"/>
                <w:szCs w:val="22"/>
              </w:rPr>
              <w:t>ACTIVITIES</w:t>
            </w:r>
          </w:p>
        </w:tc>
        <w:tc>
          <w:tcPr>
            <w:tcW w:w="4323" w:type="dxa"/>
            <w:tcBorders>
              <w:top w:val="double" w:sz="4" w:space="0" w:color="auto"/>
              <w:left w:val="double" w:sz="4" w:space="0" w:color="auto"/>
              <w:bottom w:val="double" w:sz="4" w:space="0" w:color="auto"/>
              <w:right w:val="double" w:sz="4" w:space="0" w:color="auto"/>
            </w:tcBorders>
            <w:shd w:val="clear" w:color="auto" w:fill="F3F3F3"/>
          </w:tcPr>
          <w:p w:rsidR="00E11E26" w:rsidRPr="00E11E26" w:rsidRDefault="00E11E26" w:rsidP="004953A0">
            <w:pPr>
              <w:rPr>
                <w:rFonts w:asciiTheme="minorHAnsi" w:hAnsiTheme="minorHAnsi"/>
                <w:b/>
                <w:sz w:val="22"/>
                <w:szCs w:val="22"/>
              </w:rPr>
            </w:pPr>
            <w:r w:rsidRPr="00E11E26">
              <w:rPr>
                <w:rFonts w:asciiTheme="minorHAnsi" w:hAnsiTheme="minorHAnsi"/>
                <w:b/>
                <w:sz w:val="22"/>
                <w:szCs w:val="22"/>
              </w:rPr>
              <w:t>AIM</w:t>
            </w:r>
          </w:p>
        </w:tc>
        <w:tc>
          <w:tcPr>
            <w:tcW w:w="3263" w:type="dxa"/>
            <w:tcBorders>
              <w:top w:val="double" w:sz="4" w:space="0" w:color="auto"/>
              <w:left w:val="double" w:sz="4" w:space="0" w:color="auto"/>
              <w:bottom w:val="double" w:sz="4" w:space="0" w:color="auto"/>
              <w:right w:val="double" w:sz="4" w:space="0" w:color="auto"/>
            </w:tcBorders>
            <w:shd w:val="clear" w:color="auto" w:fill="F3F3F3"/>
          </w:tcPr>
          <w:p w:rsidR="00E11E26" w:rsidRPr="00E11E26" w:rsidRDefault="00E11E26" w:rsidP="004953A0">
            <w:pPr>
              <w:rPr>
                <w:rFonts w:asciiTheme="minorHAnsi" w:hAnsiTheme="minorHAnsi"/>
                <w:b/>
                <w:sz w:val="22"/>
                <w:szCs w:val="22"/>
              </w:rPr>
            </w:pPr>
            <w:r w:rsidRPr="00E11E26">
              <w:rPr>
                <w:rFonts w:asciiTheme="minorHAnsi" w:hAnsiTheme="minorHAnsi"/>
                <w:b/>
                <w:sz w:val="22"/>
                <w:szCs w:val="22"/>
              </w:rPr>
              <w:t>IMPACT</w:t>
            </w:r>
          </w:p>
        </w:tc>
        <w:tc>
          <w:tcPr>
            <w:tcW w:w="2012" w:type="dxa"/>
            <w:tcBorders>
              <w:top w:val="double" w:sz="4" w:space="0" w:color="auto"/>
              <w:left w:val="double" w:sz="4" w:space="0" w:color="auto"/>
              <w:bottom w:val="double" w:sz="4" w:space="0" w:color="auto"/>
              <w:right w:val="double" w:sz="4" w:space="0" w:color="auto"/>
            </w:tcBorders>
            <w:shd w:val="clear" w:color="auto" w:fill="F3F3F3"/>
          </w:tcPr>
          <w:p w:rsidR="00E11E26" w:rsidRPr="00E11E26" w:rsidRDefault="00E11E26" w:rsidP="004953A0">
            <w:pPr>
              <w:rPr>
                <w:rFonts w:asciiTheme="minorHAnsi" w:hAnsiTheme="minorHAnsi"/>
                <w:b/>
                <w:sz w:val="22"/>
                <w:szCs w:val="22"/>
              </w:rPr>
            </w:pPr>
            <w:r w:rsidRPr="00E11E26">
              <w:rPr>
                <w:rFonts w:asciiTheme="minorHAnsi" w:hAnsiTheme="minorHAnsi"/>
                <w:b/>
                <w:sz w:val="22"/>
                <w:szCs w:val="22"/>
              </w:rPr>
              <w:t>TARGETED PUPILS</w:t>
            </w:r>
          </w:p>
        </w:tc>
        <w:tc>
          <w:tcPr>
            <w:tcW w:w="2135" w:type="dxa"/>
            <w:tcBorders>
              <w:top w:val="double" w:sz="4" w:space="0" w:color="auto"/>
              <w:left w:val="double" w:sz="4" w:space="0" w:color="auto"/>
              <w:bottom w:val="double" w:sz="4" w:space="0" w:color="auto"/>
            </w:tcBorders>
            <w:shd w:val="clear" w:color="auto" w:fill="F3F3F3"/>
          </w:tcPr>
          <w:p w:rsidR="00E11E26" w:rsidRPr="00E11E26" w:rsidRDefault="00E11E26" w:rsidP="004953A0">
            <w:pPr>
              <w:rPr>
                <w:rFonts w:asciiTheme="minorHAnsi" w:hAnsiTheme="minorHAnsi"/>
                <w:b/>
                <w:sz w:val="22"/>
                <w:szCs w:val="22"/>
              </w:rPr>
            </w:pPr>
            <w:r w:rsidRPr="00E11E26">
              <w:rPr>
                <w:rFonts w:asciiTheme="minorHAnsi" w:hAnsiTheme="minorHAnsi"/>
                <w:b/>
                <w:sz w:val="22"/>
                <w:szCs w:val="22"/>
              </w:rPr>
              <w:t>COST</w:t>
            </w:r>
          </w:p>
        </w:tc>
      </w:tr>
      <w:bookmarkEnd w:id="0"/>
      <w:tr w:rsidR="000A2C7B" w:rsidRPr="00E11E26" w:rsidTr="006F2ECF">
        <w:trPr>
          <w:trHeight w:val="146"/>
        </w:trPr>
        <w:tc>
          <w:tcPr>
            <w:tcW w:w="2707" w:type="dxa"/>
            <w:tcBorders>
              <w:top w:val="double" w:sz="4" w:space="0" w:color="auto"/>
              <w:bottom w:val="single" w:sz="4" w:space="0" w:color="auto"/>
              <w:right w:val="double" w:sz="4" w:space="0" w:color="auto"/>
            </w:tcBorders>
          </w:tcPr>
          <w:p w:rsidR="000A2C7B" w:rsidRPr="00E11E26" w:rsidRDefault="000A2C7B" w:rsidP="000A2C7B">
            <w:pPr>
              <w:rPr>
                <w:rFonts w:asciiTheme="minorHAnsi" w:hAnsiTheme="minorHAnsi"/>
                <w:sz w:val="22"/>
                <w:szCs w:val="22"/>
              </w:rPr>
            </w:pPr>
            <w:r w:rsidRPr="00E11E26">
              <w:rPr>
                <w:rFonts w:asciiTheme="minorHAnsi" w:hAnsiTheme="minorHAnsi"/>
                <w:sz w:val="22"/>
                <w:szCs w:val="22"/>
              </w:rPr>
              <w:t>Swimming Instructor’s</w:t>
            </w:r>
          </w:p>
        </w:tc>
        <w:tc>
          <w:tcPr>
            <w:tcW w:w="4323" w:type="dxa"/>
            <w:tcBorders>
              <w:top w:val="double" w:sz="4" w:space="0" w:color="auto"/>
              <w:left w:val="double" w:sz="4" w:space="0" w:color="auto"/>
              <w:bottom w:val="single" w:sz="4" w:space="0" w:color="auto"/>
              <w:right w:val="double" w:sz="4" w:space="0" w:color="auto"/>
            </w:tcBorders>
          </w:tcPr>
          <w:p w:rsidR="000A2C7B" w:rsidRPr="00E11E26" w:rsidRDefault="000A2C7B" w:rsidP="000A2C7B">
            <w:pPr>
              <w:rPr>
                <w:rFonts w:asciiTheme="minorHAnsi" w:hAnsiTheme="minorHAnsi"/>
                <w:sz w:val="20"/>
                <w:szCs w:val="20"/>
              </w:rPr>
            </w:pPr>
            <w:r w:rsidRPr="00E11E26">
              <w:rPr>
                <w:rFonts w:asciiTheme="minorHAnsi" w:hAnsiTheme="minorHAnsi"/>
                <w:sz w:val="20"/>
                <w:szCs w:val="20"/>
              </w:rPr>
              <w:t xml:space="preserve">For all pupils to be taught by a specialist swimming instructor and work through nationally accredited course. All pupils to have </w:t>
            </w:r>
            <w:r>
              <w:rPr>
                <w:rFonts w:asciiTheme="minorHAnsi" w:hAnsiTheme="minorHAnsi"/>
                <w:sz w:val="20"/>
                <w:szCs w:val="20"/>
              </w:rPr>
              <w:t xml:space="preserve">regular </w:t>
            </w:r>
            <w:r w:rsidRPr="00E11E26">
              <w:rPr>
                <w:rFonts w:asciiTheme="minorHAnsi" w:hAnsiTheme="minorHAnsi"/>
                <w:sz w:val="20"/>
                <w:szCs w:val="20"/>
              </w:rPr>
              <w:t>swimming lesson.</w:t>
            </w:r>
          </w:p>
          <w:p w:rsidR="000A2C7B" w:rsidRPr="00E11E26" w:rsidRDefault="000A2C7B" w:rsidP="000A2C7B">
            <w:pPr>
              <w:rPr>
                <w:rFonts w:asciiTheme="minorHAnsi" w:hAnsiTheme="minorHAnsi"/>
                <w:sz w:val="20"/>
                <w:szCs w:val="20"/>
              </w:rPr>
            </w:pPr>
          </w:p>
        </w:tc>
        <w:tc>
          <w:tcPr>
            <w:tcW w:w="3263" w:type="dxa"/>
            <w:tcBorders>
              <w:top w:val="double" w:sz="4" w:space="0" w:color="auto"/>
              <w:left w:val="double" w:sz="4" w:space="0" w:color="auto"/>
              <w:bottom w:val="single" w:sz="4" w:space="0" w:color="auto"/>
              <w:right w:val="double" w:sz="4" w:space="0" w:color="auto"/>
            </w:tcBorders>
          </w:tcPr>
          <w:p w:rsidR="000A2C7B" w:rsidRDefault="000A2C7B" w:rsidP="000A2C7B">
            <w:pPr>
              <w:rPr>
                <w:rFonts w:asciiTheme="minorHAnsi" w:hAnsiTheme="minorHAnsi"/>
                <w:sz w:val="20"/>
                <w:szCs w:val="20"/>
              </w:rPr>
            </w:pPr>
            <w:r>
              <w:rPr>
                <w:rFonts w:asciiTheme="minorHAnsi" w:hAnsiTheme="minorHAnsi"/>
                <w:sz w:val="20"/>
                <w:szCs w:val="20"/>
              </w:rPr>
              <w:t xml:space="preserve">All classes swim </w:t>
            </w:r>
            <w:r w:rsidRPr="00E11E26">
              <w:rPr>
                <w:rFonts w:asciiTheme="minorHAnsi" w:hAnsiTheme="minorHAnsi"/>
                <w:sz w:val="20"/>
                <w:szCs w:val="20"/>
              </w:rPr>
              <w:t>weekly with pupils swimming on</w:t>
            </w:r>
            <w:r>
              <w:rPr>
                <w:rFonts w:asciiTheme="minorHAnsi" w:hAnsiTheme="minorHAnsi"/>
                <w:sz w:val="20"/>
                <w:szCs w:val="20"/>
              </w:rPr>
              <w:t xml:space="preserve"> a </w:t>
            </w:r>
            <w:r w:rsidRPr="00E11E26">
              <w:rPr>
                <w:rFonts w:asciiTheme="minorHAnsi" w:hAnsiTheme="minorHAnsi"/>
                <w:sz w:val="20"/>
                <w:szCs w:val="20"/>
              </w:rPr>
              <w:t>regular basis (usually fortnightly)</w:t>
            </w:r>
            <w:r>
              <w:rPr>
                <w:rFonts w:asciiTheme="minorHAnsi" w:hAnsiTheme="minorHAnsi"/>
                <w:sz w:val="20"/>
                <w:szCs w:val="20"/>
              </w:rPr>
              <w:t xml:space="preserve">. The pupils are developing their confidence in the water, their swimming </w:t>
            </w:r>
            <w:r>
              <w:rPr>
                <w:rFonts w:asciiTheme="minorHAnsi" w:hAnsiTheme="minorHAnsi"/>
                <w:sz w:val="20"/>
                <w:szCs w:val="20"/>
              </w:rPr>
              <w:lastRenderedPageBreak/>
              <w:t>skills and at the same time practicing those additional</w:t>
            </w:r>
            <w:r w:rsidR="003A0184">
              <w:rPr>
                <w:rFonts w:asciiTheme="minorHAnsi" w:hAnsiTheme="minorHAnsi"/>
                <w:sz w:val="20"/>
                <w:szCs w:val="20"/>
              </w:rPr>
              <w:t xml:space="preserve"> independence, communication and sensory</w:t>
            </w:r>
            <w:r>
              <w:rPr>
                <w:rFonts w:asciiTheme="minorHAnsi" w:hAnsiTheme="minorHAnsi"/>
                <w:sz w:val="20"/>
                <w:szCs w:val="20"/>
              </w:rPr>
              <w:t xml:space="preserve"> skills</w:t>
            </w:r>
            <w:r w:rsidR="0063250A">
              <w:rPr>
                <w:rFonts w:asciiTheme="minorHAnsi" w:hAnsiTheme="minorHAnsi"/>
                <w:sz w:val="20"/>
                <w:szCs w:val="20"/>
              </w:rPr>
              <w:t xml:space="preserve"> e.g.</w:t>
            </w:r>
            <w:r>
              <w:rPr>
                <w:rFonts w:asciiTheme="minorHAnsi" w:hAnsiTheme="minorHAnsi"/>
                <w:sz w:val="20"/>
                <w:szCs w:val="20"/>
              </w:rPr>
              <w:t xml:space="preserve"> getting changed and being in a pool environment</w:t>
            </w:r>
            <w:r w:rsidR="0063250A">
              <w:rPr>
                <w:rFonts w:asciiTheme="minorHAnsi" w:hAnsiTheme="minorHAnsi"/>
                <w:sz w:val="20"/>
                <w:szCs w:val="20"/>
              </w:rPr>
              <w:t>, exploring communication in a  different context etc</w:t>
            </w:r>
            <w:r>
              <w:rPr>
                <w:rFonts w:asciiTheme="minorHAnsi" w:hAnsiTheme="minorHAnsi"/>
                <w:sz w:val="20"/>
                <w:szCs w:val="20"/>
              </w:rPr>
              <w:t xml:space="preserve">. For some </w:t>
            </w:r>
            <w:r w:rsidR="00373EE7">
              <w:rPr>
                <w:rFonts w:asciiTheme="minorHAnsi" w:hAnsiTheme="minorHAnsi"/>
                <w:sz w:val="20"/>
                <w:szCs w:val="20"/>
              </w:rPr>
              <w:t xml:space="preserve">pupils, there are the additional benefits of </w:t>
            </w:r>
            <w:r>
              <w:rPr>
                <w:rFonts w:asciiTheme="minorHAnsi" w:hAnsiTheme="minorHAnsi"/>
                <w:sz w:val="20"/>
                <w:szCs w:val="20"/>
              </w:rPr>
              <w:t>addressing spec</w:t>
            </w:r>
            <w:r w:rsidR="0063250A">
              <w:rPr>
                <w:rFonts w:asciiTheme="minorHAnsi" w:hAnsiTheme="minorHAnsi"/>
                <w:sz w:val="20"/>
                <w:szCs w:val="20"/>
              </w:rPr>
              <w:t>ific physical and sensory needs through water based activity. A number of children have achieved distance badges.</w:t>
            </w:r>
          </w:p>
          <w:p w:rsidR="00373EE7" w:rsidRPr="00E11E26" w:rsidRDefault="00373EE7" w:rsidP="000A2C7B">
            <w:pPr>
              <w:rPr>
                <w:rFonts w:asciiTheme="minorHAnsi" w:hAnsiTheme="minorHAnsi"/>
                <w:sz w:val="20"/>
                <w:szCs w:val="20"/>
              </w:rPr>
            </w:pPr>
          </w:p>
        </w:tc>
        <w:tc>
          <w:tcPr>
            <w:tcW w:w="2012" w:type="dxa"/>
            <w:tcBorders>
              <w:top w:val="double" w:sz="4" w:space="0" w:color="auto"/>
              <w:left w:val="double" w:sz="4" w:space="0" w:color="auto"/>
              <w:bottom w:val="single" w:sz="4" w:space="0" w:color="auto"/>
              <w:right w:val="double" w:sz="4" w:space="0" w:color="auto"/>
            </w:tcBorders>
          </w:tcPr>
          <w:p w:rsidR="000A2C7B" w:rsidRPr="00E11E26" w:rsidRDefault="000A2C7B" w:rsidP="000A2C7B">
            <w:pPr>
              <w:rPr>
                <w:rFonts w:asciiTheme="minorHAnsi" w:hAnsiTheme="minorHAnsi"/>
                <w:sz w:val="22"/>
                <w:szCs w:val="22"/>
              </w:rPr>
            </w:pPr>
            <w:r w:rsidRPr="00E11E26">
              <w:rPr>
                <w:rFonts w:asciiTheme="minorHAnsi" w:hAnsiTheme="minorHAnsi"/>
                <w:sz w:val="22"/>
                <w:szCs w:val="22"/>
              </w:rPr>
              <w:lastRenderedPageBreak/>
              <w:t>All years</w:t>
            </w:r>
          </w:p>
        </w:tc>
        <w:tc>
          <w:tcPr>
            <w:tcW w:w="2135" w:type="dxa"/>
            <w:tcBorders>
              <w:top w:val="double" w:sz="4" w:space="0" w:color="auto"/>
              <w:left w:val="double" w:sz="4" w:space="0" w:color="auto"/>
              <w:bottom w:val="single" w:sz="4" w:space="0" w:color="auto"/>
            </w:tcBorders>
          </w:tcPr>
          <w:p w:rsidR="008D6381" w:rsidRPr="00E11E26" w:rsidRDefault="009167FA" w:rsidP="00211D3E">
            <w:pPr>
              <w:rPr>
                <w:rFonts w:asciiTheme="minorHAnsi" w:hAnsiTheme="minorHAnsi"/>
                <w:sz w:val="22"/>
                <w:szCs w:val="22"/>
              </w:rPr>
            </w:pPr>
            <w:r>
              <w:rPr>
                <w:rFonts w:asciiTheme="minorHAnsi" w:hAnsiTheme="minorHAnsi"/>
                <w:sz w:val="22"/>
                <w:szCs w:val="22"/>
              </w:rPr>
              <w:t>£</w:t>
            </w:r>
            <w:r w:rsidR="00211D3E">
              <w:rPr>
                <w:rFonts w:asciiTheme="minorHAnsi" w:hAnsiTheme="minorHAnsi"/>
                <w:sz w:val="22"/>
                <w:szCs w:val="22"/>
              </w:rPr>
              <w:t>12,094</w:t>
            </w:r>
          </w:p>
        </w:tc>
      </w:tr>
      <w:tr w:rsidR="0063250A" w:rsidRPr="00E11E26" w:rsidTr="006F2ECF">
        <w:trPr>
          <w:trHeight w:val="146"/>
        </w:trPr>
        <w:tc>
          <w:tcPr>
            <w:tcW w:w="2707" w:type="dxa"/>
            <w:tcBorders>
              <w:top w:val="double" w:sz="4" w:space="0" w:color="auto"/>
              <w:bottom w:val="single" w:sz="4" w:space="0" w:color="auto"/>
              <w:right w:val="double" w:sz="4" w:space="0" w:color="auto"/>
            </w:tcBorders>
          </w:tcPr>
          <w:p w:rsidR="0063250A" w:rsidRPr="00E11E26" w:rsidRDefault="0063250A" w:rsidP="00F8309D">
            <w:pPr>
              <w:rPr>
                <w:rFonts w:asciiTheme="minorHAnsi" w:hAnsiTheme="minorHAnsi"/>
                <w:sz w:val="22"/>
                <w:szCs w:val="22"/>
              </w:rPr>
            </w:pPr>
            <w:r w:rsidRPr="00E11E26">
              <w:rPr>
                <w:rFonts w:asciiTheme="minorHAnsi" w:hAnsiTheme="minorHAnsi"/>
                <w:sz w:val="22"/>
                <w:szCs w:val="22"/>
              </w:rPr>
              <w:t>Little Dragons ~ Michelle H</w:t>
            </w:r>
            <w:r w:rsidR="00F8309D">
              <w:rPr>
                <w:rFonts w:asciiTheme="minorHAnsi" w:hAnsiTheme="minorHAnsi"/>
                <w:sz w:val="22"/>
                <w:szCs w:val="22"/>
              </w:rPr>
              <w:t>ey</w:t>
            </w:r>
            <w:r w:rsidRPr="00E11E26">
              <w:rPr>
                <w:rFonts w:asciiTheme="minorHAnsi" w:hAnsiTheme="minorHAnsi"/>
                <w:sz w:val="22"/>
                <w:szCs w:val="22"/>
              </w:rPr>
              <w:t>s</w:t>
            </w:r>
          </w:p>
        </w:tc>
        <w:tc>
          <w:tcPr>
            <w:tcW w:w="4323" w:type="dxa"/>
            <w:tcBorders>
              <w:top w:val="double" w:sz="4" w:space="0" w:color="auto"/>
              <w:left w:val="double" w:sz="4" w:space="0" w:color="auto"/>
              <w:bottom w:val="single" w:sz="4" w:space="0" w:color="auto"/>
              <w:right w:val="double" w:sz="4" w:space="0" w:color="auto"/>
            </w:tcBorders>
          </w:tcPr>
          <w:p w:rsidR="0063250A" w:rsidRPr="00E11E26" w:rsidRDefault="0063250A" w:rsidP="004B1917">
            <w:pPr>
              <w:rPr>
                <w:rFonts w:asciiTheme="minorHAnsi" w:hAnsiTheme="minorHAnsi"/>
                <w:sz w:val="20"/>
                <w:szCs w:val="20"/>
                <w:lang w:val="en"/>
              </w:rPr>
            </w:pPr>
            <w:r w:rsidRPr="00E11E26">
              <w:rPr>
                <w:rFonts w:asciiTheme="minorHAnsi" w:hAnsiTheme="minorHAnsi"/>
                <w:sz w:val="20"/>
                <w:szCs w:val="20"/>
                <w:lang w:val="en"/>
              </w:rPr>
              <w:t>For pupils to engage in weekly Karate lessons. These sessions develop the basic karate skills alongside other skills such as attention and turn taking skills and are highly structured sessions that the pupils are very familiar with.</w:t>
            </w:r>
          </w:p>
        </w:tc>
        <w:tc>
          <w:tcPr>
            <w:tcW w:w="3263" w:type="dxa"/>
            <w:tcBorders>
              <w:top w:val="double" w:sz="4" w:space="0" w:color="auto"/>
              <w:left w:val="double" w:sz="4" w:space="0" w:color="auto"/>
              <w:bottom w:val="single" w:sz="4" w:space="0" w:color="auto"/>
              <w:right w:val="double" w:sz="4" w:space="0" w:color="auto"/>
            </w:tcBorders>
          </w:tcPr>
          <w:p w:rsidR="0063250A" w:rsidRPr="00E11E26" w:rsidRDefault="0010443B" w:rsidP="0010443B">
            <w:pPr>
              <w:rPr>
                <w:rFonts w:asciiTheme="minorHAnsi" w:hAnsiTheme="minorHAnsi"/>
                <w:sz w:val="20"/>
                <w:szCs w:val="20"/>
              </w:rPr>
            </w:pPr>
            <w:r>
              <w:rPr>
                <w:rFonts w:asciiTheme="minorHAnsi" w:hAnsiTheme="minorHAnsi"/>
                <w:sz w:val="20"/>
                <w:szCs w:val="20"/>
              </w:rPr>
              <w:t>Over the 2 terms</w:t>
            </w:r>
            <w:r w:rsidR="0063250A">
              <w:rPr>
                <w:rFonts w:asciiTheme="minorHAnsi" w:hAnsiTheme="minorHAnsi"/>
                <w:sz w:val="20"/>
                <w:szCs w:val="20"/>
              </w:rPr>
              <w:t>, the pupils have learnt a range of karate skills taught within a structured lesson that they are very familiar with. They have learnt skills of observation, imitation, turn-taking and also get to rehearse maths counting skills and positional vocabulary.</w:t>
            </w:r>
          </w:p>
        </w:tc>
        <w:tc>
          <w:tcPr>
            <w:tcW w:w="2012" w:type="dxa"/>
            <w:tcBorders>
              <w:top w:val="double" w:sz="4" w:space="0" w:color="auto"/>
              <w:left w:val="double" w:sz="4" w:space="0" w:color="auto"/>
              <w:bottom w:val="single" w:sz="4" w:space="0" w:color="auto"/>
              <w:right w:val="double" w:sz="4" w:space="0" w:color="auto"/>
            </w:tcBorders>
          </w:tcPr>
          <w:p w:rsidR="0063250A" w:rsidRPr="00E11E26" w:rsidRDefault="0028536A" w:rsidP="004B1917">
            <w:pPr>
              <w:rPr>
                <w:rFonts w:asciiTheme="minorHAnsi" w:hAnsiTheme="minorHAnsi"/>
                <w:sz w:val="22"/>
                <w:szCs w:val="22"/>
              </w:rPr>
            </w:pPr>
            <w:r>
              <w:rPr>
                <w:rFonts w:asciiTheme="minorHAnsi" w:hAnsiTheme="minorHAnsi"/>
                <w:sz w:val="22"/>
                <w:szCs w:val="22"/>
              </w:rPr>
              <w:t>KS2</w:t>
            </w:r>
          </w:p>
        </w:tc>
        <w:tc>
          <w:tcPr>
            <w:tcW w:w="2135" w:type="dxa"/>
            <w:tcBorders>
              <w:top w:val="double" w:sz="4" w:space="0" w:color="auto"/>
              <w:left w:val="double" w:sz="4" w:space="0" w:color="auto"/>
              <w:bottom w:val="single" w:sz="4" w:space="0" w:color="auto"/>
            </w:tcBorders>
          </w:tcPr>
          <w:p w:rsidR="0063250A" w:rsidRPr="00E11E26" w:rsidRDefault="00211D3E" w:rsidP="004B1917">
            <w:pPr>
              <w:rPr>
                <w:rFonts w:asciiTheme="minorHAnsi" w:hAnsiTheme="minorHAnsi"/>
                <w:sz w:val="22"/>
                <w:szCs w:val="22"/>
              </w:rPr>
            </w:pPr>
            <w:r>
              <w:rPr>
                <w:rFonts w:asciiTheme="minorHAnsi" w:hAnsiTheme="minorHAnsi"/>
                <w:sz w:val="22"/>
                <w:szCs w:val="22"/>
              </w:rPr>
              <w:t>£1,560</w:t>
            </w:r>
          </w:p>
        </w:tc>
      </w:tr>
      <w:tr w:rsidR="00F8309D" w:rsidRPr="00E11E26" w:rsidTr="006F2ECF">
        <w:trPr>
          <w:trHeight w:val="146"/>
        </w:trPr>
        <w:tc>
          <w:tcPr>
            <w:tcW w:w="2707" w:type="dxa"/>
            <w:tcBorders>
              <w:top w:val="double" w:sz="4" w:space="0" w:color="auto"/>
              <w:bottom w:val="single" w:sz="4" w:space="0" w:color="auto"/>
              <w:right w:val="double" w:sz="4" w:space="0" w:color="auto"/>
            </w:tcBorders>
          </w:tcPr>
          <w:p w:rsidR="00F8309D" w:rsidRPr="00E11E26" w:rsidRDefault="00F8309D" w:rsidP="004B1917">
            <w:pPr>
              <w:rPr>
                <w:rFonts w:asciiTheme="minorHAnsi" w:hAnsiTheme="minorHAnsi"/>
              </w:rPr>
            </w:pPr>
            <w:r>
              <w:rPr>
                <w:rFonts w:asciiTheme="minorHAnsi" w:hAnsiTheme="minorHAnsi"/>
              </w:rPr>
              <w:t>Everton in the Community –Multisport Sessions</w:t>
            </w:r>
          </w:p>
        </w:tc>
        <w:tc>
          <w:tcPr>
            <w:tcW w:w="4323" w:type="dxa"/>
            <w:tcBorders>
              <w:top w:val="double" w:sz="4" w:space="0" w:color="auto"/>
              <w:left w:val="double" w:sz="4" w:space="0" w:color="auto"/>
              <w:bottom w:val="single" w:sz="4" w:space="0" w:color="auto"/>
              <w:right w:val="double" w:sz="4" w:space="0" w:color="auto"/>
            </w:tcBorders>
          </w:tcPr>
          <w:p w:rsidR="00F8309D" w:rsidRDefault="00AE0DAF" w:rsidP="004B1917">
            <w:pPr>
              <w:rPr>
                <w:rFonts w:asciiTheme="minorHAnsi" w:hAnsiTheme="minorHAnsi"/>
                <w:sz w:val="20"/>
                <w:szCs w:val="20"/>
              </w:rPr>
            </w:pPr>
            <w:r>
              <w:rPr>
                <w:rFonts w:asciiTheme="minorHAnsi" w:hAnsiTheme="minorHAnsi"/>
                <w:sz w:val="20"/>
                <w:szCs w:val="20"/>
              </w:rPr>
              <w:t>For pupils to engage in range of activities to foster physical development alongside broader skills of engagement, cooperation, turn-taking etc.</w:t>
            </w:r>
          </w:p>
          <w:p w:rsidR="00AE0DAF" w:rsidRDefault="00AE0DAF" w:rsidP="004B1917">
            <w:pPr>
              <w:rPr>
                <w:rFonts w:asciiTheme="minorHAnsi" w:hAnsiTheme="minorHAnsi"/>
                <w:sz w:val="20"/>
                <w:szCs w:val="20"/>
              </w:rPr>
            </w:pPr>
            <w:r>
              <w:rPr>
                <w:rFonts w:asciiTheme="minorHAnsi" w:hAnsiTheme="minorHAnsi"/>
                <w:sz w:val="20"/>
                <w:szCs w:val="20"/>
              </w:rPr>
              <w:t>After school activities with parents to be run on a weekly basis.</w:t>
            </w:r>
          </w:p>
        </w:tc>
        <w:tc>
          <w:tcPr>
            <w:tcW w:w="3263" w:type="dxa"/>
            <w:tcBorders>
              <w:top w:val="double" w:sz="4" w:space="0" w:color="auto"/>
              <w:left w:val="double" w:sz="4" w:space="0" w:color="auto"/>
              <w:bottom w:val="single" w:sz="4" w:space="0" w:color="auto"/>
              <w:right w:val="double" w:sz="4" w:space="0" w:color="auto"/>
            </w:tcBorders>
          </w:tcPr>
          <w:p w:rsidR="00F8309D" w:rsidRDefault="00AE0DAF" w:rsidP="0010443B">
            <w:pPr>
              <w:rPr>
                <w:rFonts w:asciiTheme="minorHAnsi" w:hAnsiTheme="minorHAnsi"/>
                <w:sz w:val="20"/>
                <w:szCs w:val="20"/>
              </w:rPr>
            </w:pPr>
            <w:r>
              <w:rPr>
                <w:rFonts w:asciiTheme="minorHAnsi" w:hAnsiTheme="minorHAnsi"/>
                <w:sz w:val="20"/>
                <w:szCs w:val="20"/>
              </w:rPr>
              <w:t xml:space="preserve">Over the term the pupils took part in </w:t>
            </w:r>
            <w:r w:rsidR="0010443B">
              <w:rPr>
                <w:rFonts w:asciiTheme="minorHAnsi" w:hAnsiTheme="minorHAnsi"/>
                <w:sz w:val="20"/>
                <w:szCs w:val="20"/>
              </w:rPr>
              <w:t>a wide</w:t>
            </w:r>
            <w:r>
              <w:rPr>
                <w:rFonts w:asciiTheme="minorHAnsi" w:hAnsiTheme="minorHAnsi"/>
                <w:sz w:val="20"/>
                <w:szCs w:val="20"/>
              </w:rPr>
              <w:t xml:space="preserve"> range of activities and experiences including </w:t>
            </w:r>
            <w:r w:rsidR="0010443B">
              <w:rPr>
                <w:rFonts w:asciiTheme="minorHAnsi" w:hAnsiTheme="minorHAnsi"/>
                <w:sz w:val="20"/>
                <w:szCs w:val="20"/>
              </w:rPr>
              <w:t>dance</w:t>
            </w:r>
            <w:r>
              <w:rPr>
                <w:rFonts w:asciiTheme="minorHAnsi" w:hAnsiTheme="minorHAnsi"/>
                <w:sz w:val="20"/>
                <w:szCs w:val="20"/>
              </w:rPr>
              <w:t xml:space="preserve"> and multiskills with a team of Sports Leads. The pupils have developed </w:t>
            </w:r>
            <w:r w:rsidR="0010443B">
              <w:rPr>
                <w:rFonts w:asciiTheme="minorHAnsi" w:hAnsiTheme="minorHAnsi"/>
                <w:sz w:val="20"/>
                <w:szCs w:val="20"/>
              </w:rPr>
              <w:t xml:space="preserve">movement </w:t>
            </w:r>
            <w:r>
              <w:rPr>
                <w:rFonts w:asciiTheme="minorHAnsi" w:hAnsiTheme="minorHAnsi"/>
                <w:sz w:val="20"/>
                <w:szCs w:val="20"/>
              </w:rPr>
              <w:t>skills, experienced different activities, taken turns, worked wi</w:t>
            </w:r>
            <w:r w:rsidR="0010443B">
              <w:rPr>
                <w:rFonts w:asciiTheme="minorHAnsi" w:hAnsiTheme="minorHAnsi"/>
                <w:sz w:val="20"/>
                <w:szCs w:val="20"/>
              </w:rPr>
              <w:t>th new people, worked as a team.</w:t>
            </w:r>
          </w:p>
          <w:p w:rsidR="0010443B" w:rsidRDefault="0010443B" w:rsidP="0010443B">
            <w:pPr>
              <w:rPr>
                <w:rFonts w:asciiTheme="minorHAnsi" w:hAnsiTheme="minorHAnsi"/>
                <w:sz w:val="20"/>
                <w:szCs w:val="20"/>
              </w:rPr>
            </w:pPr>
          </w:p>
        </w:tc>
        <w:tc>
          <w:tcPr>
            <w:tcW w:w="2012" w:type="dxa"/>
            <w:tcBorders>
              <w:top w:val="double" w:sz="4" w:space="0" w:color="auto"/>
              <w:left w:val="double" w:sz="4" w:space="0" w:color="auto"/>
              <w:bottom w:val="single" w:sz="4" w:space="0" w:color="auto"/>
              <w:right w:val="double" w:sz="4" w:space="0" w:color="auto"/>
            </w:tcBorders>
          </w:tcPr>
          <w:p w:rsidR="00F8309D" w:rsidRDefault="00AE0DAF" w:rsidP="004B1917">
            <w:pPr>
              <w:rPr>
                <w:rFonts w:asciiTheme="minorHAnsi" w:hAnsiTheme="minorHAnsi"/>
                <w:sz w:val="22"/>
                <w:szCs w:val="22"/>
              </w:rPr>
            </w:pPr>
            <w:r>
              <w:rPr>
                <w:rFonts w:asciiTheme="minorHAnsi" w:hAnsiTheme="minorHAnsi"/>
                <w:sz w:val="22"/>
                <w:szCs w:val="22"/>
              </w:rPr>
              <w:t xml:space="preserve">All years </w:t>
            </w:r>
          </w:p>
        </w:tc>
        <w:tc>
          <w:tcPr>
            <w:tcW w:w="2135" w:type="dxa"/>
            <w:tcBorders>
              <w:top w:val="double" w:sz="4" w:space="0" w:color="auto"/>
              <w:left w:val="double" w:sz="4" w:space="0" w:color="auto"/>
              <w:bottom w:val="single" w:sz="4" w:space="0" w:color="auto"/>
            </w:tcBorders>
          </w:tcPr>
          <w:p w:rsidR="00F8309D" w:rsidRDefault="00211D3E" w:rsidP="004B1917">
            <w:pPr>
              <w:rPr>
                <w:rFonts w:asciiTheme="minorHAnsi" w:hAnsiTheme="minorHAnsi"/>
                <w:sz w:val="22"/>
                <w:szCs w:val="22"/>
              </w:rPr>
            </w:pPr>
            <w:r>
              <w:rPr>
                <w:rFonts w:asciiTheme="minorHAnsi" w:hAnsiTheme="minorHAnsi"/>
                <w:sz w:val="22"/>
                <w:szCs w:val="22"/>
              </w:rPr>
              <w:t>£0</w:t>
            </w:r>
          </w:p>
        </w:tc>
      </w:tr>
      <w:tr w:rsidR="0063250A" w:rsidRPr="00E11E26" w:rsidTr="006F2ECF">
        <w:trPr>
          <w:trHeight w:val="146"/>
        </w:trPr>
        <w:tc>
          <w:tcPr>
            <w:tcW w:w="2707" w:type="dxa"/>
            <w:tcBorders>
              <w:top w:val="double" w:sz="4" w:space="0" w:color="auto"/>
              <w:bottom w:val="single" w:sz="4" w:space="0" w:color="auto"/>
              <w:right w:val="double" w:sz="4" w:space="0" w:color="auto"/>
            </w:tcBorders>
          </w:tcPr>
          <w:p w:rsidR="0063250A" w:rsidRPr="00E11E26" w:rsidRDefault="0063250A" w:rsidP="004B1917">
            <w:pPr>
              <w:rPr>
                <w:rFonts w:asciiTheme="minorHAnsi" w:hAnsiTheme="minorHAnsi"/>
              </w:rPr>
            </w:pPr>
            <w:r w:rsidRPr="00E11E26">
              <w:rPr>
                <w:rFonts w:asciiTheme="minorHAnsi" w:hAnsiTheme="minorHAnsi"/>
              </w:rPr>
              <w:t>The Greenban</w:t>
            </w:r>
            <w:r>
              <w:rPr>
                <w:rFonts w:asciiTheme="minorHAnsi" w:hAnsiTheme="minorHAnsi"/>
              </w:rPr>
              <w:t>k Programme</w:t>
            </w:r>
            <w:r w:rsidRPr="00E11E26">
              <w:rPr>
                <w:rFonts w:asciiTheme="minorHAnsi" w:hAnsiTheme="minorHAnsi"/>
              </w:rPr>
              <w:t xml:space="preserve"> – Disability Events </w:t>
            </w:r>
            <w:r>
              <w:rPr>
                <w:rFonts w:asciiTheme="minorHAnsi" w:hAnsiTheme="minorHAnsi"/>
              </w:rPr>
              <w:t xml:space="preserve">and Coaching </w:t>
            </w:r>
          </w:p>
        </w:tc>
        <w:tc>
          <w:tcPr>
            <w:tcW w:w="4323" w:type="dxa"/>
            <w:tcBorders>
              <w:top w:val="double" w:sz="4" w:space="0" w:color="auto"/>
              <w:left w:val="double" w:sz="4" w:space="0" w:color="auto"/>
              <w:bottom w:val="single" w:sz="4" w:space="0" w:color="auto"/>
              <w:right w:val="double" w:sz="4" w:space="0" w:color="auto"/>
            </w:tcBorders>
          </w:tcPr>
          <w:p w:rsidR="0063250A" w:rsidRDefault="0063250A" w:rsidP="004B1917">
            <w:pPr>
              <w:rPr>
                <w:rFonts w:asciiTheme="minorHAnsi" w:hAnsiTheme="minorHAnsi"/>
                <w:sz w:val="20"/>
                <w:szCs w:val="20"/>
              </w:rPr>
            </w:pPr>
            <w:r>
              <w:rPr>
                <w:rFonts w:asciiTheme="minorHAnsi" w:hAnsiTheme="minorHAnsi"/>
                <w:sz w:val="20"/>
                <w:szCs w:val="20"/>
              </w:rPr>
              <w:t>Weekly coaching for Rebound session</w:t>
            </w:r>
          </w:p>
          <w:p w:rsidR="0063250A" w:rsidRPr="00E11E26" w:rsidRDefault="0063250A" w:rsidP="004B1917">
            <w:pPr>
              <w:rPr>
                <w:rFonts w:asciiTheme="minorHAnsi" w:hAnsiTheme="minorHAnsi"/>
                <w:sz w:val="20"/>
                <w:szCs w:val="20"/>
              </w:rPr>
            </w:pPr>
            <w:r>
              <w:rPr>
                <w:rFonts w:asciiTheme="minorHAnsi" w:hAnsiTheme="minorHAnsi"/>
                <w:sz w:val="20"/>
                <w:szCs w:val="20"/>
              </w:rPr>
              <w:t>For staff to access Greenbank Sports Academy provision / expertise.</w:t>
            </w:r>
          </w:p>
        </w:tc>
        <w:tc>
          <w:tcPr>
            <w:tcW w:w="3263" w:type="dxa"/>
            <w:tcBorders>
              <w:top w:val="double" w:sz="4" w:space="0" w:color="auto"/>
              <w:left w:val="double" w:sz="4" w:space="0" w:color="auto"/>
              <w:bottom w:val="single" w:sz="4" w:space="0" w:color="auto"/>
              <w:right w:val="double" w:sz="4" w:space="0" w:color="auto"/>
            </w:tcBorders>
          </w:tcPr>
          <w:p w:rsidR="0063250A" w:rsidRPr="00E11E26" w:rsidRDefault="0063250A" w:rsidP="006F2ECF">
            <w:pPr>
              <w:rPr>
                <w:rFonts w:asciiTheme="minorHAnsi" w:hAnsiTheme="minorHAnsi"/>
                <w:sz w:val="20"/>
                <w:szCs w:val="20"/>
              </w:rPr>
            </w:pPr>
            <w:r>
              <w:rPr>
                <w:rFonts w:asciiTheme="minorHAnsi" w:hAnsiTheme="minorHAnsi"/>
                <w:sz w:val="20"/>
                <w:szCs w:val="20"/>
              </w:rPr>
              <w:t>The school has run a weekly ‘Rebound’ club as an extended school’s activity as well as undertaking Rebound on a rota basis on a Monday afternoon</w:t>
            </w:r>
            <w:r w:rsidR="006F2ECF">
              <w:rPr>
                <w:rFonts w:asciiTheme="minorHAnsi" w:hAnsiTheme="minorHAnsi"/>
                <w:sz w:val="20"/>
                <w:szCs w:val="20"/>
              </w:rPr>
              <w:t xml:space="preserve"> using school staff and 2 coaches from Greenbank.</w:t>
            </w:r>
            <w:r>
              <w:rPr>
                <w:rFonts w:asciiTheme="minorHAnsi" w:hAnsiTheme="minorHAnsi"/>
                <w:sz w:val="20"/>
                <w:szCs w:val="20"/>
              </w:rPr>
              <w:t xml:space="preserve"> Extremely positive impact seen related to physical development, addressing sensory needs and improving joint attention</w:t>
            </w:r>
            <w:r w:rsidR="0010443B">
              <w:rPr>
                <w:rFonts w:asciiTheme="minorHAnsi" w:hAnsiTheme="minorHAnsi"/>
                <w:sz w:val="20"/>
                <w:szCs w:val="20"/>
              </w:rPr>
              <w:t>, turn taking, waiting</w:t>
            </w:r>
            <w:r>
              <w:rPr>
                <w:rFonts w:asciiTheme="minorHAnsi" w:hAnsiTheme="minorHAnsi"/>
                <w:sz w:val="20"/>
                <w:szCs w:val="20"/>
              </w:rPr>
              <w:t xml:space="preserve"> and engagement. </w:t>
            </w:r>
          </w:p>
        </w:tc>
        <w:tc>
          <w:tcPr>
            <w:tcW w:w="2012" w:type="dxa"/>
            <w:tcBorders>
              <w:top w:val="double" w:sz="4" w:space="0" w:color="auto"/>
              <w:left w:val="double" w:sz="4" w:space="0" w:color="auto"/>
              <w:bottom w:val="single" w:sz="4" w:space="0" w:color="auto"/>
              <w:right w:val="double" w:sz="4" w:space="0" w:color="auto"/>
            </w:tcBorders>
          </w:tcPr>
          <w:p w:rsidR="0063250A" w:rsidRPr="00E11E26" w:rsidRDefault="0063250A" w:rsidP="004B1917">
            <w:pPr>
              <w:rPr>
                <w:rFonts w:asciiTheme="minorHAnsi" w:hAnsiTheme="minorHAnsi"/>
                <w:sz w:val="22"/>
                <w:szCs w:val="22"/>
              </w:rPr>
            </w:pPr>
            <w:r>
              <w:rPr>
                <w:rFonts w:asciiTheme="minorHAnsi" w:hAnsiTheme="minorHAnsi"/>
                <w:sz w:val="22"/>
                <w:szCs w:val="22"/>
              </w:rPr>
              <w:t>KS1/2 Pupils</w:t>
            </w:r>
          </w:p>
        </w:tc>
        <w:tc>
          <w:tcPr>
            <w:tcW w:w="2135" w:type="dxa"/>
            <w:tcBorders>
              <w:top w:val="double" w:sz="4" w:space="0" w:color="auto"/>
              <w:left w:val="double" w:sz="4" w:space="0" w:color="auto"/>
              <w:bottom w:val="single" w:sz="4" w:space="0" w:color="auto"/>
            </w:tcBorders>
          </w:tcPr>
          <w:p w:rsidR="0063250A" w:rsidRPr="00E11E26" w:rsidRDefault="00211D3E" w:rsidP="004B1917">
            <w:pPr>
              <w:rPr>
                <w:rFonts w:asciiTheme="minorHAnsi" w:hAnsiTheme="minorHAnsi"/>
                <w:sz w:val="22"/>
                <w:szCs w:val="22"/>
              </w:rPr>
            </w:pPr>
            <w:r>
              <w:rPr>
                <w:rFonts w:asciiTheme="minorHAnsi" w:hAnsiTheme="minorHAnsi"/>
                <w:sz w:val="22"/>
                <w:szCs w:val="22"/>
              </w:rPr>
              <w:t>£1,500</w:t>
            </w:r>
          </w:p>
        </w:tc>
      </w:tr>
      <w:tr w:rsidR="008D6381" w:rsidRPr="00E11E26" w:rsidTr="006F2ECF">
        <w:trPr>
          <w:trHeight w:val="1975"/>
        </w:trPr>
        <w:tc>
          <w:tcPr>
            <w:tcW w:w="2707" w:type="dxa"/>
            <w:tcBorders>
              <w:top w:val="double" w:sz="4" w:space="0" w:color="auto"/>
              <w:bottom w:val="single" w:sz="4" w:space="0" w:color="auto"/>
              <w:right w:val="double" w:sz="4" w:space="0" w:color="auto"/>
            </w:tcBorders>
          </w:tcPr>
          <w:p w:rsidR="008D6381" w:rsidRPr="00310516" w:rsidRDefault="008D6381" w:rsidP="0063250A">
            <w:pPr>
              <w:rPr>
                <w:rFonts w:asciiTheme="minorHAnsi" w:hAnsiTheme="minorHAnsi"/>
              </w:rPr>
            </w:pPr>
            <w:r>
              <w:rPr>
                <w:rFonts w:asciiTheme="minorHAnsi" w:hAnsiTheme="minorHAnsi"/>
              </w:rPr>
              <w:t>New equipment/resources</w:t>
            </w:r>
          </w:p>
        </w:tc>
        <w:tc>
          <w:tcPr>
            <w:tcW w:w="4323" w:type="dxa"/>
            <w:tcBorders>
              <w:top w:val="double" w:sz="4" w:space="0" w:color="auto"/>
              <w:left w:val="double" w:sz="4" w:space="0" w:color="auto"/>
              <w:bottom w:val="single" w:sz="4" w:space="0" w:color="auto"/>
              <w:right w:val="double" w:sz="4" w:space="0" w:color="auto"/>
            </w:tcBorders>
          </w:tcPr>
          <w:p w:rsidR="00930732" w:rsidRPr="00930732" w:rsidRDefault="00930732" w:rsidP="00930732">
            <w:pPr>
              <w:rPr>
                <w:rFonts w:asciiTheme="minorHAnsi" w:hAnsiTheme="minorHAnsi"/>
                <w:b/>
                <w:sz w:val="20"/>
                <w:szCs w:val="20"/>
              </w:rPr>
            </w:pPr>
            <w:r w:rsidRPr="00930732">
              <w:rPr>
                <w:rFonts w:asciiTheme="minorHAnsi" w:hAnsiTheme="minorHAnsi"/>
                <w:sz w:val="20"/>
                <w:szCs w:val="20"/>
              </w:rPr>
              <w:t>To improve / increase equipment in school available for curriculum, playground sports and extended school’s activities</w:t>
            </w:r>
            <w:r w:rsidR="0010443B">
              <w:rPr>
                <w:rFonts w:asciiTheme="minorHAnsi" w:hAnsiTheme="minorHAnsi"/>
                <w:sz w:val="20"/>
                <w:szCs w:val="20"/>
              </w:rPr>
              <w:t>.</w:t>
            </w:r>
          </w:p>
          <w:p w:rsidR="008D6381" w:rsidRPr="00930732" w:rsidRDefault="008D6381" w:rsidP="0063250A">
            <w:pPr>
              <w:rPr>
                <w:rFonts w:asciiTheme="minorHAnsi" w:hAnsiTheme="minorHAnsi"/>
                <w:sz w:val="20"/>
                <w:szCs w:val="20"/>
              </w:rPr>
            </w:pPr>
          </w:p>
        </w:tc>
        <w:tc>
          <w:tcPr>
            <w:tcW w:w="3263" w:type="dxa"/>
            <w:tcBorders>
              <w:top w:val="double" w:sz="4" w:space="0" w:color="auto"/>
              <w:left w:val="double" w:sz="4" w:space="0" w:color="auto"/>
              <w:bottom w:val="single" w:sz="4" w:space="0" w:color="auto"/>
              <w:right w:val="double" w:sz="4" w:space="0" w:color="auto"/>
            </w:tcBorders>
          </w:tcPr>
          <w:p w:rsidR="008D6381" w:rsidRPr="00310516" w:rsidRDefault="00AE0DAF" w:rsidP="004B1917">
            <w:pPr>
              <w:rPr>
                <w:rFonts w:asciiTheme="minorHAnsi" w:hAnsiTheme="minorHAnsi"/>
                <w:sz w:val="20"/>
                <w:szCs w:val="20"/>
              </w:rPr>
            </w:pPr>
            <w:r>
              <w:rPr>
                <w:rFonts w:asciiTheme="minorHAnsi" w:hAnsiTheme="minorHAnsi"/>
                <w:sz w:val="20"/>
                <w:szCs w:val="20"/>
              </w:rPr>
              <w:t xml:space="preserve">These pieces of equipment are critical in classrooms to support </w:t>
            </w:r>
            <w:r w:rsidR="0010443B">
              <w:rPr>
                <w:rFonts w:asciiTheme="minorHAnsi" w:hAnsiTheme="minorHAnsi"/>
                <w:sz w:val="20"/>
                <w:szCs w:val="20"/>
              </w:rPr>
              <w:t>pupil’s</w:t>
            </w:r>
            <w:r>
              <w:rPr>
                <w:rFonts w:asciiTheme="minorHAnsi" w:hAnsiTheme="minorHAnsi"/>
                <w:sz w:val="20"/>
                <w:szCs w:val="20"/>
              </w:rPr>
              <w:t xml:space="preserve"> sensory diets and self-regulation. </w:t>
            </w:r>
          </w:p>
        </w:tc>
        <w:tc>
          <w:tcPr>
            <w:tcW w:w="2012" w:type="dxa"/>
            <w:tcBorders>
              <w:top w:val="double" w:sz="4" w:space="0" w:color="auto"/>
              <w:left w:val="double" w:sz="4" w:space="0" w:color="auto"/>
              <w:bottom w:val="single" w:sz="4" w:space="0" w:color="auto"/>
              <w:right w:val="double" w:sz="4" w:space="0" w:color="auto"/>
            </w:tcBorders>
          </w:tcPr>
          <w:p w:rsidR="008D6381" w:rsidRPr="00310516" w:rsidRDefault="00AE0DAF" w:rsidP="004B1917">
            <w:pPr>
              <w:rPr>
                <w:rFonts w:asciiTheme="minorHAnsi" w:hAnsiTheme="minorHAnsi"/>
                <w:sz w:val="22"/>
                <w:szCs w:val="22"/>
              </w:rPr>
            </w:pPr>
            <w:r>
              <w:rPr>
                <w:rFonts w:asciiTheme="minorHAnsi" w:hAnsiTheme="minorHAnsi"/>
                <w:sz w:val="22"/>
                <w:szCs w:val="22"/>
              </w:rPr>
              <w:t>KS 1 / 2</w:t>
            </w:r>
          </w:p>
        </w:tc>
        <w:tc>
          <w:tcPr>
            <w:tcW w:w="2135" w:type="dxa"/>
            <w:tcBorders>
              <w:top w:val="double" w:sz="4" w:space="0" w:color="auto"/>
              <w:left w:val="double" w:sz="4" w:space="0" w:color="auto"/>
              <w:bottom w:val="single" w:sz="4" w:space="0" w:color="auto"/>
            </w:tcBorders>
          </w:tcPr>
          <w:p w:rsidR="008D6381" w:rsidRPr="00E11E26" w:rsidRDefault="00211D3E" w:rsidP="0028536A">
            <w:pPr>
              <w:rPr>
                <w:rFonts w:asciiTheme="minorHAnsi" w:hAnsiTheme="minorHAnsi"/>
                <w:sz w:val="22"/>
                <w:szCs w:val="22"/>
              </w:rPr>
            </w:pPr>
            <w:r>
              <w:rPr>
                <w:rFonts w:asciiTheme="minorHAnsi" w:hAnsiTheme="minorHAnsi"/>
                <w:sz w:val="22"/>
                <w:szCs w:val="22"/>
              </w:rPr>
              <w:t>£111</w:t>
            </w:r>
          </w:p>
        </w:tc>
      </w:tr>
      <w:tr w:rsidR="00BB5A9F" w:rsidRPr="00E11E26" w:rsidTr="006F2ECF">
        <w:trPr>
          <w:trHeight w:val="146"/>
        </w:trPr>
        <w:tc>
          <w:tcPr>
            <w:tcW w:w="7030" w:type="dxa"/>
            <w:gridSpan w:val="2"/>
            <w:tcBorders>
              <w:top w:val="double" w:sz="4" w:space="0" w:color="auto"/>
              <w:bottom w:val="double" w:sz="4" w:space="0" w:color="auto"/>
              <w:right w:val="double" w:sz="4" w:space="0" w:color="auto"/>
            </w:tcBorders>
            <w:shd w:val="clear" w:color="auto" w:fill="F3F3F3"/>
          </w:tcPr>
          <w:p w:rsidR="006F2ECF" w:rsidRPr="006F2ECF" w:rsidRDefault="006F2ECF" w:rsidP="00BB5A9F">
            <w:pPr>
              <w:jc w:val="both"/>
              <w:rPr>
                <w:rFonts w:asciiTheme="minorHAnsi" w:hAnsiTheme="minorHAnsi"/>
                <w:i/>
                <w:sz w:val="22"/>
                <w:szCs w:val="22"/>
              </w:rPr>
            </w:pPr>
          </w:p>
          <w:p w:rsidR="006F2ECF" w:rsidRPr="00BB5A9F" w:rsidRDefault="006F2ECF" w:rsidP="00F8309D">
            <w:pPr>
              <w:jc w:val="both"/>
              <w:rPr>
                <w:rFonts w:asciiTheme="minorHAnsi" w:hAnsiTheme="minorHAnsi"/>
                <w:sz w:val="22"/>
                <w:szCs w:val="22"/>
              </w:rPr>
            </w:pPr>
          </w:p>
        </w:tc>
        <w:tc>
          <w:tcPr>
            <w:tcW w:w="3263" w:type="dxa"/>
            <w:tcBorders>
              <w:top w:val="double" w:sz="4" w:space="0" w:color="auto"/>
              <w:bottom w:val="double" w:sz="4" w:space="0" w:color="auto"/>
              <w:right w:val="double" w:sz="4" w:space="0" w:color="auto"/>
            </w:tcBorders>
            <w:shd w:val="clear" w:color="auto" w:fill="F3F3F3"/>
          </w:tcPr>
          <w:p w:rsidR="00BB5A9F" w:rsidRPr="00E11E26" w:rsidRDefault="00BB5A9F" w:rsidP="00BB5A9F">
            <w:pPr>
              <w:rPr>
                <w:rFonts w:asciiTheme="minorHAnsi" w:hAnsiTheme="minorHAnsi"/>
                <w:b/>
              </w:rPr>
            </w:pPr>
          </w:p>
        </w:tc>
        <w:tc>
          <w:tcPr>
            <w:tcW w:w="2012" w:type="dxa"/>
            <w:tcBorders>
              <w:top w:val="double" w:sz="4" w:space="0" w:color="auto"/>
              <w:left w:val="double" w:sz="4" w:space="0" w:color="auto"/>
              <w:bottom w:val="double" w:sz="4" w:space="0" w:color="auto"/>
              <w:right w:val="double" w:sz="4" w:space="0" w:color="auto"/>
            </w:tcBorders>
            <w:shd w:val="clear" w:color="auto" w:fill="F3F3F3"/>
          </w:tcPr>
          <w:p w:rsidR="00BB5A9F" w:rsidRPr="00E11E26" w:rsidRDefault="006F2ECF" w:rsidP="00BB5A9F">
            <w:pPr>
              <w:rPr>
                <w:rFonts w:asciiTheme="minorHAnsi" w:hAnsiTheme="minorHAnsi"/>
                <w:b/>
              </w:rPr>
            </w:pPr>
            <w:r>
              <w:rPr>
                <w:rFonts w:asciiTheme="minorHAnsi" w:hAnsiTheme="minorHAnsi"/>
                <w:b/>
              </w:rPr>
              <w:t>Total spend</w:t>
            </w:r>
          </w:p>
        </w:tc>
        <w:tc>
          <w:tcPr>
            <w:tcW w:w="2135" w:type="dxa"/>
            <w:tcBorders>
              <w:top w:val="double" w:sz="4" w:space="0" w:color="auto"/>
              <w:left w:val="double" w:sz="4" w:space="0" w:color="auto"/>
              <w:bottom w:val="double" w:sz="4" w:space="0" w:color="auto"/>
            </w:tcBorders>
            <w:shd w:val="clear" w:color="auto" w:fill="F3F3F3"/>
          </w:tcPr>
          <w:p w:rsidR="00BB5A9F" w:rsidRPr="00E11E26" w:rsidRDefault="00211D3E" w:rsidP="00930732">
            <w:pPr>
              <w:tabs>
                <w:tab w:val="center" w:pos="1152"/>
              </w:tabs>
              <w:rPr>
                <w:rFonts w:asciiTheme="minorHAnsi" w:hAnsiTheme="minorHAnsi"/>
                <w:b/>
              </w:rPr>
            </w:pPr>
            <w:r>
              <w:rPr>
                <w:rFonts w:asciiTheme="minorHAnsi" w:hAnsiTheme="minorHAnsi"/>
                <w:b/>
              </w:rPr>
              <w:t>£15,265</w:t>
            </w:r>
          </w:p>
        </w:tc>
      </w:tr>
      <w:tr w:rsidR="000A2C7B" w:rsidRPr="00E11E26" w:rsidTr="006F2ECF">
        <w:trPr>
          <w:trHeight w:val="146"/>
        </w:trPr>
        <w:tc>
          <w:tcPr>
            <w:tcW w:w="2707" w:type="dxa"/>
            <w:tcBorders>
              <w:top w:val="single" w:sz="4" w:space="0" w:color="auto"/>
              <w:left w:val="nil"/>
              <w:bottom w:val="nil"/>
              <w:right w:val="nil"/>
            </w:tcBorders>
            <w:shd w:val="clear" w:color="auto" w:fill="FFFFFF" w:themeFill="background1"/>
          </w:tcPr>
          <w:p w:rsidR="000A2C7B" w:rsidRPr="00E11E26" w:rsidRDefault="000A2C7B" w:rsidP="000A2C7B">
            <w:pPr>
              <w:rPr>
                <w:rFonts w:asciiTheme="minorHAnsi" w:hAnsiTheme="minorHAnsi"/>
                <w:sz w:val="22"/>
                <w:szCs w:val="22"/>
              </w:rPr>
            </w:pPr>
          </w:p>
        </w:tc>
        <w:tc>
          <w:tcPr>
            <w:tcW w:w="4323" w:type="dxa"/>
            <w:tcBorders>
              <w:top w:val="single" w:sz="4" w:space="0" w:color="auto"/>
              <w:left w:val="nil"/>
              <w:bottom w:val="nil"/>
              <w:right w:val="nil"/>
            </w:tcBorders>
            <w:shd w:val="clear" w:color="auto" w:fill="FFFFFF" w:themeFill="background1"/>
          </w:tcPr>
          <w:p w:rsidR="000A2C7B" w:rsidRPr="00E11E26" w:rsidRDefault="000A2C7B" w:rsidP="000A2C7B">
            <w:pPr>
              <w:rPr>
                <w:rFonts w:asciiTheme="minorHAnsi" w:hAnsiTheme="minorHAnsi"/>
                <w:sz w:val="20"/>
                <w:szCs w:val="20"/>
              </w:rPr>
            </w:pPr>
          </w:p>
        </w:tc>
        <w:tc>
          <w:tcPr>
            <w:tcW w:w="3263" w:type="dxa"/>
            <w:tcBorders>
              <w:top w:val="single" w:sz="4" w:space="0" w:color="auto"/>
              <w:left w:val="nil"/>
              <w:bottom w:val="nil"/>
              <w:right w:val="nil"/>
            </w:tcBorders>
            <w:shd w:val="clear" w:color="auto" w:fill="FFFFFF" w:themeFill="background1"/>
          </w:tcPr>
          <w:p w:rsidR="000A2C7B" w:rsidRPr="00E11E26" w:rsidRDefault="000A2C7B" w:rsidP="000A2C7B">
            <w:pPr>
              <w:rPr>
                <w:rFonts w:asciiTheme="minorHAnsi" w:hAnsiTheme="minorHAnsi"/>
                <w:sz w:val="20"/>
                <w:szCs w:val="20"/>
              </w:rPr>
            </w:pPr>
          </w:p>
        </w:tc>
        <w:tc>
          <w:tcPr>
            <w:tcW w:w="2012" w:type="dxa"/>
            <w:tcBorders>
              <w:top w:val="single" w:sz="4" w:space="0" w:color="auto"/>
              <w:left w:val="nil"/>
              <w:bottom w:val="nil"/>
              <w:right w:val="nil"/>
            </w:tcBorders>
            <w:shd w:val="clear" w:color="auto" w:fill="FFFFFF" w:themeFill="background1"/>
          </w:tcPr>
          <w:p w:rsidR="000A2C7B" w:rsidRPr="00E11E26" w:rsidRDefault="000A2C7B" w:rsidP="000A2C7B">
            <w:pPr>
              <w:rPr>
                <w:rFonts w:asciiTheme="minorHAnsi" w:hAnsiTheme="minorHAnsi"/>
                <w:sz w:val="22"/>
                <w:szCs w:val="22"/>
              </w:rPr>
            </w:pPr>
          </w:p>
        </w:tc>
        <w:tc>
          <w:tcPr>
            <w:tcW w:w="2135" w:type="dxa"/>
            <w:tcBorders>
              <w:top w:val="single" w:sz="4" w:space="0" w:color="auto"/>
              <w:left w:val="nil"/>
              <w:bottom w:val="nil"/>
              <w:right w:val="nil"/>
            </w:tcBorders>
            <w:shd w:val="clear" w:color="auto" w:fill="FFFFFF" w:themeFill="background1"/>
          </w:tcPr>
          <w:p w:rsidR="000A2C7B" w:rsidRPr="00E11E26" w:rsidRDefault="000A2C7B" w:rsidP="000A2C7B">
            <w:pPr>
              <w:rPr>
                <w:rFonts w:asciiTheme="minorHAnsi" w:hAnsiTheme="minorHAnsi"/>
                <w:sz w:val="22"/>
                <w:szCs w:val="22"/>
              </w:rPr>
            </w:pPr>
          </w:p>
        </w:tc>
      </w:tr>
      <w:tr w:rsidR="00373EE7" w:rsidRPr="00E11E26" w:rsidTr="006F2ECF">
        <w:trPr>
          <w:trHeight w:val="136"/>
        </w:trPr>
        <w:tc>
          <w:tcPr>
            <w:tcW w:w="7030" w:type="dxa"/>
            <w:gridSpan w:val="2"/>
            <w:tcBorders>
              <w:top w:val="nil"/>
              <w:left w:val="nil"/>
              <w:bottom w:val="single" w:sz="4" w:space="0" w:color="auto"/>
              <w:right w:val="nil"/>
            </w:tcBorders>
            <w:shd w:val="clear" w:color="auto" w:fill="FFFFFF" w:themeFill="background1"/>
          </w:tcPr>
          <w:p w:rsidR="00373EE7" w:rsidRDefault="00373EE7" w:rsidP="000A2C7B">
            <w:pPr>
              <w:rPr>
                <w:rFonts w:asciiTheme="minorHAnsi" w:hAnsiTheme="minorHAnsi"/>
                <w:sz w:val="20"/>
                <w:szCs w:val="20"/>
              </w:rPr>
            </w:pPr>
          </w:p>
          <w:p w:rsidR="006F2ECF" w:rsidRPr="00E11E26" w:rsidRDefault="006F2ECF" w:rsidP="000A2C7B">
            <w:pPr>
              <w:rPr>
                <w:rFonts w:asciiTheme="minorHAnsi" w:hAnsiTheme="minorHAnsi"/>
                <w:sz w:val="20"/>
                <w:szCs w:val="20"/>
              </w:rPr>
            </w:pPr>
          </w:p>
        </w:tc>
        <w:tc>
          <w:tcPr>
            <w:tcW w:w="3263" w:type="dxa"/>
            <w:tcBorders>
              <w:top w:val="nil"/>
              <w:left w:val="nil"/>
              <w:bottom w:val="single" w:sz="4" w:space="0" w:color="auto"/>
              <w:right w:val="nil"/>
            </w:tcBorders>
            <w:shd w:val="clear" w:color="auto" w:fill="FFFFFF" w:themeFill="background1"/>
          </w:tcPr>
          <w:p w:rsidR="00373EE7" w:rsidRPr="00E11E26" w:rsidRDefault="00373EE7" w:rsidP="000A2C7B">
            <w:pPr>
              <w:rPr>
                <w:rFonts w:asciiTheme="minorHAnsi" w:hAnsiTheme="minorHAnsi"/>
                <w:sz w:val="20"/>
                <w:szCs w:val="20"/>
              </w:rPr>
            </w:pPr>
          </w:p>
        </w:tc>
        <w:tc>
          <w:tcPr>
            <w:tcW w:w="2012" w:type="dxa"/>
            <w:tcBorders>
              <w:top w:val="nil"/>
              <w:left w:val="nil"/>
              <w:bottom w:val="single" w:sz="4" w:space="0" w:color="auto"/>
              <w:right w:val="nil"/>
            </w:tcBorders>
            <w:shd w:val="clear" w:color="auto" w:fill="FFFFFF" w:themeFill="background1"/>
          </w:tcPr>
          <w:p w:rsidR="00373EE7" w:rsidRPr="00E11E26" w:rsidRDefault="00373EE7" w:rsidP="000A2C7B">
            <w:pPr>
              <w:rPr>
                <w:rFonts w:asciiTheme="minorHAnsi" w:hAnsiTheme="minorHAnsi"/>
                <w:sz w:val="22"/>
                <w:szCs w:val="22"/>
              </w:rPr>
            </w:pPr>
          </w:p>
        </w:tc>
        <w:tc>
          <w:tcPr>
            <w:tcW w:w="2135" w:type="dxa"/>
            <w:tcBorders>
              <w:top w:val="nil"/>
              <w:left w:val="nil"/>
              <w:bottom w:val="single" w:sz="4" w:space="0" w:color="auto"/>
              <w:right w:val="nil"/>
            </w:tcBorders>
            <w:shd w:val="clear" w:color="auto" w:fill="FFFFFF" w:themeFill="background1"/>
          </w:tcPr>
          <w:p w:rsidR="00373EE7" w:rsidRPr="00E11E26" w:rsidRDefault="00373EE7" w:rsidP="000A2C7B">
            <w:pPr>
              <w:rPr>
                <w:rFonts w:asciiTheme="minorHAnsi" w:hAnsiTheme="minorHAnsi"/>
                <w:sz w:val="22"/>
                <w:szCs w:val="22"/>
              </w:rPr>
            </w:pPr>
          </w:p>
        </w:tc>
      </w:tr>
    </w:tbl>
    <w:p w:rsidR="00066BB8" w:rsidRDefault="00066BB8" w:rsidP="00453AAA">
      <w:pPr>
        <w:spacing w:after="160" w:line="259" w:lineRule="auto"/>
        <w:rPr>
          <w:rFonts w:asciiTheme="minorHAnsi" w:hAnsiTheme="minorHAnsi"/>
          <w:b/>
        </w:rPr>
      </w:pPr>
    </w:p>
    <w:p w:rsidR="00066BB8" w:rsidRDefault="00066BB8" w:rsidP="00453AAA">
      <w:pPr>
        <w:spacing w:after="160" w:line="259" w:lineRule="auto"/>
        <w:rPr>
          <w:rFonts w:asciiTheme="minorHAnsi" w:hAnsiTheme="minorHAnsi"/>
          <w:b/>
        </w:rPr>
      </w:pPr>
    </w:p>
    <w:p w:rsidR="0010443B" w:rsidRPr="0010443B" w:rsidRDefault="0010443B" w:rsidP="0010443B">
      <w:pPr>
        <w:pStyle w:val="NormalWeb"/>
        <w:shd w:val="clear" w:color="auto" w:fill="FFFFFF"/>
        <w:spacing w:before="0" w:beforeAutospacing="0" w:after="0" w:afterAutospacing="0"/>
        <w:rPr>
          <w:rFonts w:asciiTheme="minorHAnsi" w:hAnsiTheme="minorHAnsi" w:cstheme="minorHAnsi"/>
          <w:color w:val="0B0C0C"/>
          <w:szCs w:val="29"/>
        </w:rPr>
      </w:pPr>
      <w:r>
        <w:rPr>
          <w:rStyle w:val="Strong"/>
          <w:rFonts w:asciiTheme="minorHAnsi" w:hAnsiTheme="minorHAnsi" w:cstheme="minorHAnsi"/>
          <w:color w:val="0B0C0C"/>
          <w:szCs w:val="29"/>
          <w:bdr w:val="none" w:sz="0" w:space="0" w:color="auto" w:frame="1"/>
        </w:rPr>
        <w:t xml:space="preserve">Please note that the guidance has been updated to </w:t>
      </w:r>
      <w:r w:rsidR="00421B60">
        <w:rPr>
          <w:rStyle w:val="Strong"/>
          <w:rFonts w:asciiTheme="minorHAnsi" w:hAnsiTheme="minorHAnsi" w:cstheme="minorHAnsi"/>
          <w:color w:val="0B0C0C"/>
          <w:szCs w:val="29"/>
          <w:bdr w:val="none" w:sz="0" w:space="0" w:color="auto" w:frame="1"/>
        </w:rPr>
        <w:t>include in-</w:t>
      </w:r>
      <w:r w:rsidRPr="0010443B">
        <w:rPr>
          <w:rStyle w:val="Strong"/>
          <w:rFonts w:asciiTheme="minorHAnsi" w:hAnsiTheme="minorHAnsi" w:cstheme="minorHAnsi"/>
          <w:color w:val="0B0C0C"/>
          <w:szCs w:val="29"/>
          <w:bdr w:val="none" w:sz="0" w:space="0" w:color="auto" w:frame="1"/>
        </w:rPr>
        <w:t>year variation</w:t>
      </w:r>
      <w:r>
        <w:rPr>
          <w:rStyle w:val="Strong"/>
          <w:rFonts w:asciiTheme="minorHAnsi" w:hAnsiTheme="minorHAnsi" w:cstheme="minorHAnsi"/>
          <w:color w:val="0B0C0C"/>
          <w:szCs w:val="29"/>
          <w:bdr w:val="none" w:sz="0" w:space="0" w:color="auto" w:frame="1"/>
        </w:rPr>
        <w:t>:-</w:t>
      </w:r>
    </w:p>
    <w:p w:rsidR="0010443B" w:rsidRPr="0010443B" w:rsidRDefault="0010443B" w:rsidP="0010443B">
      <w:pPr>
        <w:pStyle w:val="NormalWeb"/>
        <w:shd w:val="clear" w:color="auto" w:fill="FFFFFF"/>
        <w:spacing w:before="300" w:beforeAutospacing="0" w:after="300" w:afterAutospacing="0"/>
        <w:rPr>
          <w:rFonts w:asciiTheme="minorHAnsi" w:hAnsiTheme="minorHAnsi" w:cstheme="minorHAnsi"/>
          <w:color w:val="0B0C0C"/>
          <w:szCs w:val="29"/>
        </w:rPr>
      </w:pPr>
      <w:r w:rsidRPr="0010443B">
        <w:rPr>
          <w:rFonts w:asciiTheme="minorHAnsi" w:hAnsiTheme="minorHAnsi" w:cstheme="minorHAnsi"/>
          <w:color w:val="0B0C0C"/>
          <w:szCs w:val="29"/>
        </w:rPr>
        <w:t>The premium does not have to be completely spent by schools in the academic year beginning 1 September 2019, some or all of it may be carried forward into the academic year beginning 1 September 2020 but must be spent by 31 March 2021.</w:t>
      </w:r>
      <w:r>
        <w:rPr>
          <w:rFonts w:asciiTheme="minorHAnsi" w:hAnsiTheme="minorHAnsi" w:cstheme="minorHAnsi"/>
          <w:color w:val="0B0C0C"/>
          <w:szCs w:val="29"/>
        </w:rPr>
        <w:t xml:space="preserve"> As a school we shall carry over </w:t>
      </w:r>
      <w:r w:rsidR="00211D3E" w:rsidRPr="00146B70">
        <w:rPr>
          <w:rFonts w:asciiTheme="minorHAnsi" w:hAnsiTheme="minorHAnsi" w:cstheme="minorHAnsi"/>
          <w:b/>
          <w:color w:val="0B0C0C"/>
          <w:szCs w:val="29"/>
        </w:rPr>
        <w:t>£1,485</w:t>
      </w:r>
      <w:r>
        <w:rPr>
          <w:rFonts w:asciiTheme="minorHAnsi" w:hAnsiTheme="minorHAnsi" w:cstheme="minorHAnsi"/>
          <w:color w:val="0B0C0C"/>
          <w:szCs w:val="29"/>
        </w:rPr>
        <w:t xml:space="preserve"> due to Covid school closure for summer term 2020.</w:t>
      </w:r>
      <w:bookmarkStart w:id="1" w:name="_GoBack"/>
      <w:bookmarkEnd w:id="1"/>
    </w:p>
    <w:p w:rsidR="00E77FFE" w:rsidRPr="00AF5F2C" w:rsidRDefault="00A0753B" w:rsidP="00453AAA">
      <w:pPr>
        <w:spacing w:after="160" w:line="259" w:lineRule="auto"/>
        <w:rPr>
          <w:rFonts w:asciiTheme="minorHAnsi" w:hAnsiTheme="minorHAnsi"/>
          <w:b/>
          <w:sz w:val="28"/>
          <w:szCs w:val="28"/>
        </w:rPr>
      </w:pPr>
      <w:r w:rsidRPr="00AF5F2C">
        <w:rPr>
          <w:rFonts w:asciiTheme="minorHAnsi" w:hAnsiTheme="minorHAnsi"/>
          <w:b/>
          <w:sz w:val="28"/>
          <w:szCs w:val="28"/>
        </w:rPr>
        <w:t xml:space="preserve">PLANS FOR PE &amp; SPORTS GRANT ALLOCATION </w:t>
      </w:r>
      <w:r w:rsidR="0010443B">
        <w:rPr>
          <w:rFonts w:asciiTheme="minorHAnsi" w:hAnsiTheme="minorHAnsi"/>
          <w:b/>
          <w:sz w:val="28"/>
          <w:szCs w:val="28"/>
        </w:rPr>
        <w:t>2020-21</w:t>
      </w:r>
    </w:p>
    <w:tbl>
      <w:tblPr>
        <w:tblStyle w:val="TableGrid"/>
        <w:tblW w:w="0" w:type="auto"/>
        <w:tblLook w:val="04A0" w:firstRow="1" w:lastRow="0" w:firstColumn="1" w:lastColumn="0" w:noHBand="0" w:noVBand="1"/>
      </w:tblPr>
      <w:tblGrid>
        <w:gridCol w:w="4997"/>
        <w:gridCol w:w="8951"/>
      </w:tblGrid>
      <w:tr w:rsidR="00A0753B" w:rsidRPr="00E11E26" w:rsidTr="00E77FFE">
        <w:tc>
          <w:tcPr>
            <w:tcW w:w="13948" w:type="dxa"/>
            <w:gridSpan w:val="2"/>
            <w:shd w:val="clear" w:color="auto" w:fill="F2F2F2" w:themeFill="background1" w:themeFillShade="F2"/>
          </w:tcPr>
          <w:p w:rsidR="00E77FFE" w:rsidRPr="00E11E26" w:rsidRDefault="00A0753B" w:rsidP="00EC4505">
            <w:pPr>
              <w:rPr>
                <w:rFonts w:asciiTheme="minorHAnsi" w:hAnsiTheme="minorHAnsi"/>
                <w:b/>
              </w:rPr>
            </w:pPr>
            <w:r w:rsidRPr="00E11E26">
              <w:rPr>
                <w:rFonts w:asciiTheme="minorHAnsi" w:hAnsiTheme="minorHAnsi"/>
                <w:b/>
              </w:rPr>
              <w:t xml:space="preserve">Estimated Pupil Premium Allocation </w:t>
            </w:r>
            <w:r w:rsidR="0010443B">
              <w:rPr>
                <w:rFonts w:asciiTheme="minorHAnsi" w:hAnsiTheme="minorHAnsi"/>
                <w:b/>
              </w:rPr>
              <w:t>2020-21</w:t>
            </w:r>
          </w:p>
        </w:tc>
      </w:tr>
      <w:tr w:rsidR="00A0753B" w:rsidRPr="00E11E26" w:rsidTr="00E77FFE">
        <w:tc>
          <w:tcPr>
            <w:tcW w:w="4997" w:type="dxa"/>
          </w:tcPr>
          <w:p w:rsidR="00A0753B" w:rsidRPr="00E11E26" w:rsidRDefault="00A0753B" w:rsidP="004953A0">
            <w:pPr>
              <w:rPr>
                <w:rFonts w:asciiTheme="minorHAnsi" w:hAnsiTheme="minorHAnsi"/>
                <w:b/>
              </w:rPr>
            </w:pPr>
            <w:r w:rsidRPr="00E11E26">
              <w:rPr>
                <w:rFonts w:asciiTheme="minorHAnsi" w:hAnsiTheme="minorHAnsi"/>
                <w:b/>
              </w:rPr>
              <w:t>Expected Amount</w:t>
            </w:r>
          </w:p>
        </w:tc>
        <w:tc>
          <w:tcPr>
            <w:tcW w:w="8951" w:type="dxa"/>
          </w:tcPr>
          <w:p w:rsidR="00AF5F2C" w:rsidRPr="00E11E26" w:rsidRDefault="00310516" w:rsidP="0010443B">
            <w:pPr>
              <w:rPr>
                <w:rFonts w:asciiTheme="minorHAnsi" w:hAnsiTheme="minorHAnsi"/>
              </w:rPr>
            </w:pPr>
            <w:r>
              <w:rPr>
                <w:rFonts w:asciiTheme="minorHAnsi" w:hAnsiTheme="minorHAnsi"/>
              </w:rPr>
              <w:t>£</w:t>
            </w:r>
            <w:r w:rsidR="00146B70">
              <w:rPr>
                <w:rFonts w:asciiTheme="minorHAnsi" w:hAnsiTheme="minorHAnsi"/>
              </w:rPr>
              <w:t>16,840</w:t>
            </w:r>
          </w:p>
        </w:tc>
      </w:tr>
      <w:tr w:rsidR="00A0753B" w:rsidRPr="00E11E26" w:rsidTr="00E77FFE">
        <w:trPr>
          <w:trHeight w:val="562"/>
        </w:trPr>
        <w:tc>
          <w:tcPr>
            <w:tcW w:w="13948" w:type="dxa"/>
            <w:gridSpan w:val="2"/>
          </w:tcPr>
          <w:p w:rsidR="00A0753B" w:rsidRPr="00E11E26" w:rsidRDefault="00E24557" w:rsidP="004953A0">
            <w:pPr>
              <w:rPr>
                <w:rFonts w:asciiTheme="minorHAnsi" w:hAnsiTheme="minorHAnsi"/>
                <w:b/>
              </w:rPr>
            </w:pPr>
            <w:r w:rsidRPr="00E11E26">
              <w:rPr>
                <w:rFonts w:asciiTheme="minorHAnsi" w:hAnsiTheme="minorHAnsi"/>
                <w:b/>
              </w:rPr>
              <w:t>Proposed O</w:t>
            </w:r>
            <w:r w:rsidR="00A0753B" w:rsidRPr="00E11E26">
              <w:rPr>
                <w:rFonts w:asciiTheme="minorHAnsi" w:hAnsiTheme="minorHAnsi"/>
                <w:b/>
              </w:rPr>
              <w:t>bjectives</w:t>
            </w:r>
            <w:r w:rsidR="004E5AD1" w:rsidRPr="00E11E26">
              <w:rPr>
                <w:rFonts w:asciiTheme="minorHAnsi" w:hAnsiTheme="minorHAnsi"/>
                <w:b/>
              </w:rPr>
              <w:t xml:space="preserve"> / Spending Plan</w:t>
            </w:r>
          </w:p>
          <w:p w:rsidR="00D957DD" w:rsidRPr="00E11E26" w:rsidRDefault="00D957DD" w:rsidP="00D957DD">
            <w:pPr>
              <w:rPr>
                <w:rFonts w:asciiTheme="minorHAnsi" w:hAnsiTheme="minorHAnsi"/>
                <w:b/>
              </w:rPr>
            </w:pPr>
            <w:r w:rsidRPr="00E11E26">
              <w:rPr>
                <w:rFonts w:asciiTheme="minorHAnsi" w:hAnsiTheme="minorHAnsi"/>
                <w:b/>
              </w:rPr>
              <w:t xml:space="preserve">Merseyside Schools Disability Event and Coaching </w:t>
            </w:r>
            <w:r w:rsidR="004E6976" w:rsidRPr="00E11E26">
              <w:rPr>
                <w:rFonts w:asciiTheme="minorHAnsi" w:hAnsiTheme="minorHAnsi"/>
                <w:b/>
              </w:rPr>
              <w:t xml:space="preserve">Programme (Gold Package) </w:t>
            </w:r>
          </w:p>
          <w:p w:rsidR="00D957DD" w:rsidRPr="00E11E26" w:rsidRDefault="00D957DD" w:rsidP="00D957DD">
            <w:pPr>
              <w:numPr>
                <w:ilvl w:val="0"/>
                <w:numId w:val="1"/>
              </w:numPr>
              <w:rPr>
                <w:rFonts w:asciiTheme="minorHAnsi" w:hAnsiTheme="minorHAnsi"/>
                <w:sz w:val="22"/>
                <w:szCs w:val="22"/>
              </w:rPr>
            </w:pPr>
            <w:r w:rsidRPr="00E11E26">
              <w:rPr>
                <w:rFonts w:asciiTheme="minorHAnsi" w:hAnsiTheme="minorHAnsi"/>
                <w:sz w:val="22"/>
                <w:szCs w:val="22"/>
              </w:rPr>
              <w:t>Unlimited entries into Schools Event programme – Athletics, Basketball, Boccia, Cricket, Football, Wheelchair Handball, Power Hockey, Panathlon Challenge (Borough based squads) and Swimming</w:t>
            </w:r>
          </w:p>
          <w:p w:rsidR="00D957DD" w:rsidRPr="00E11E26" w:rsidRDefault="00D957DD" w:rsidP="00D957DD">
            <w:pPr>
              <w:numPr>
                <w:ilvl w:val="0"/>
                <w:numId w:val="1"/>
              </w:numPr>
              <w:rPr>
                <w:rFonts w:asciiTheme="minorHAnsi" w:hAnsiTheme="minorHAnsi"/>
                <w:sz w:val="22"/>
                <w:szCs w:val="22"/>
              </w:rPr>
            </w:pPr>
            <w:r w:rsidRPr="00E11E26">
              <w:rPr>
                <w:rFonts w:asciiTheme="minorHAnsi" w:hAnsiTheme="minorHAnsi"/>
                <w:sz w:val="22"/>
                <w:szCs w:val="22"/>
              </w:rPr>
              <w:t>30 hours of after school sessions or 20 hours of coaching in curriculum time in disability sports (This will be rebound therapy weekly)</w:t>
            </w:r>
          </w:p>
          <w:p w:rsidR="00D957DD" w:rsidRPr="00E11E26" w:rsidRDefault="00D957DD" w:rsidP="00D957DD">
            <w:pPr>
              <w:numPr>
                <w:ilvl w:val="0"/>
                <w:numId w:val="1"/>
              </w:numPr>
              <w:rPr>
                <w:rFonts w:asciiTheme="minorHAnsi" w:hAnsiTheme="minorHAnsi"/>
                <w:sz w:val="22"/>
                <w:szCs w:val="22"/>
              </w:rPr>
            </w:pPr>
            <w:r w:rsidRPr="00E11E26">
              <w:rPr>
                <w:rFonts w:asciiTheme="minorHAnsi" w:hAnsiTheme="minorHAnsi"/>
                <w:sz w:val="22"/>
                <w:szCs w:val="22"/>
              </w:rPr>
              <w:t xml:space="preserve">Access to CPD courses/workshops for staff: Boccia Level 1 course, Power Sports, Self-Propelled Wheelchair Sports, Disability Awareness and FUNS (maximum of 10 places in total) additional places at £10 each  </w:t>
            </w:r>
          </w:p>
          <w:p w:rsidR="00D957DD" w:rsidRPr="00E11E26" w:rsidRDefault="00D957DD" w:rsidP="00D957DD">
            <w:pPr>
              <w:numPr>
                <w:ilvl w:val="0"/>
                <w:numId w:val="1"/>
              </w:numPr>
              <w:rPr>
                <w:rFonts w:asciiTheme="minorHAnsi" w:hAnsiTheme="minorHAnsi"/>
                <w:sz w:val="22"/>
                <w:szCs w:val="22"/>
              </w:rPr>
            </w:pPr>
            <w:r w:rsidRPr="00E11E26">
              <w:rPr>
                <w:rFonts w:asciiTheme="minorHAnsi" w:hAnsiTheme="minorHAnsi"/>
                <w:sz w:val="22"/>
                <w:szCs w:val="22"/>
              </w:rPr>
              <w:t>Medals and certificates at each event</w:t>
            </w:r>
          </w:p>
          <w:p w:rsidR="00BD29BA" w:rsidRDefault="00BD29BA" w:rsidP="00BD29BA">
            <w:pPr>
              <w:rPr>
                <w:rFonts w:asciiTheme="minorHAnsi" w:hAnsiTheme="minorHAnsi"/>
                <w:sz w:val="22"/>
                <w:szCs w:val="22"/>
              </w:rPr>
            </w:pPr>
          </w:p>
          <w:p w:rsidR="00BD29BA" w:rsidRPr="00BD29BA" w:rsidRDefault="00BD29BA" w:rsidP="00BD29BA">
            <w:pPr>
              <w:rPr>
                <w:rFonts w:asciiTheme="minorHAnsi" w:hAnsiTheme="minorHAnsi"/>
                <w:b/>
              </w:rPr>
            </w:pPr>
            <w:r w:rsidRPr="00BD29BA">
              <w:rPr>
                <w:rFonts w:asciiTheme="minorHAnsi" w:hAnsiTheme="minorHAnsi"/>
                <w:b/>
              </w:rPr>
              <w:t>Swimming Instructor(s)</w:t>
            </w:r>
            <w:r w:rsidR="00AE0DAF">
              <w:rPr>
                <w:rFonts w:asciiTheme="minorHAnsi" w:hAnsiTheme="minorHAnsi"/>
                <w:b/>
              </w:rPr>
              <w:t xml:space="preserve"> All years </w:t>
            </w:r>
          </w:p>
          <w:p w:rsidR="00BD29BA" w:rsidRDefault="00BD29BA" w:rsidP="00BD29BA">
            <w:pPr>
              <w:pStyle w:val="ListParagraph"/>
              <w:numPr>
                <w:ilvl w:val="0"/>
                <w:numId w:val="4"/>
              </w:numPr>
              <w:rPr>
                <w:rFonts w:asciiTheme="minorHAnsi" w:hAnsiTheme="minorHAnsi"/>
                <w:sz w:val="22"/>
                <w:szCs w:val="22"/>
              </w:rPr>
            </w:pPr>
            <w:r w:rsidRPr="00BD29BA">
              <w:rPr>
                <w:rFonts w:asciiTheme="minorHAnsi" w:hAnsiTheme="minorHAnsi"/>
                <w:sz w:val="22"/>
                <w:szCs w:val="22"/>
              </w:rPr>
              <w:t>For all pupils to be taught by a specialist swimming instructor and work through nationally accredited course</w:t>
            </w:r>
            <w:r w:rsidR="00D605B9">
              <w:rPr>
                <w:rFonts w:asciiTheme="minorHAnsi" w:hAnsiTheme="minorHAnsi"/>
                <w:sz w:val="22"/>
                <w:szCs w:val="22"/>
              </w:rPr>
              <w:t xml:space="preserve"> to gain water confidence and develop ability to swim a distance appropriate to their skill level (goal to be 25m by end of school</w:t>
            </w:r>
            <w:r w:rsidR="00AE0DAF">
              <w:rPr>
                <w:rFonts w:asciiTheme="minorHAnsi" w:hAnsiTheme="minorHAnsi"/>
                <w:sz w:val="22"/>
                <w:szCs w:val="22"/>
              </w:rPr>
              <w:t>ing</w:t>
            </w:r>
            <w:r w:rsidR="00D605B9">
              <w:rPr>
                <w:rFonts w:asciiTheme="minorHAnsi" w:hAnsiTheme="minorHAnsi"/>
                <w:sz w:val="22"/>
                <w:szCs w:val="22"/>
              </w:rPr>
              <w:t xml:space="preserve"> here </w:t>
            </w:r>
            <w:r w:rsidR="00AE0DAF">
              <w:rPr>
                <w:rFonts w:asciiTheme="minorHAnsi" w:hAnsiTheme="minorHAnsi"/>
                <w:sz w:val="22"/>
                <w:szCs w:val="22"/>
              </w:rPr>
              <w:t xml:space="preserve">if </w:t>
            </w:r>
            <w:r w:rsidR="00D605B9">
              <w:rPr>
                <w:rFonts w:asciiTheme="minorHAnsi" w:hAnsiTheme="minorHAnsi"/>
                <w:sz w:val="22"/>
                <w:szCs w:val="22"/>
              </w:rPr>
              <w:t>this is appropriate)</w:t>
            </w:r>
            <w:r w:rsidRPr="00BD29BA">
              <w:rPr>
                <w:rFonts w:asciiTheme="minorHAnsi" w:hAnsiTheme="minorHAnsi"/>
                <w:sz w:val="22"/>
                <w:szCs w:val="22"/>
              </w:rPr>
              <w:t xml:space="preserve">. All pupils to have regular </w:t>
            </w:r>
            <w:r>
              <w:rPr>
                <w:rFonts w:asciiTheme="minorHAnsi" w:hAnsiTheme="minorHAnsi"/>
                <w:sz w:val="22"/>
                <w:szCs w:val="22"/>
              </w:rPr>
              <w:t>swimming lesson (generally bi-weekly).</w:t>
            </w:r>
          </w:p>
          <w:p w:rsidR="00683F12" w:rsidRDefault="00683F12" w:rsidP="00683F12">
            <w:pPr>
              <w:rPr>
                <w:rFonts w:asciiTheme="minorHAnsi" w:hAnsiTheme="minorHAnsi"/>
                <w:sz w:val="22"/>
                <w:szCs w:val="22"/>
              </w:rPr>
            </w:pPr>
          </w:p>
          <w:p w:rsidR="00683F12" w:rsidRPr="00683F12" w:rsidRDefault="00683F12" w:rsidP="00683F12">
            <w:pPr>
              <w:rPr>
                <w:rFonts w:asciiTheme="minorHAnsi" w:hAnsiTheme="minorHAnsi"/>
                <w:b/>
              </w:rPr>
            </w:pPr>
            <w:r w:rsidRPr="00683F12">
              <w:rPr>
                <w:rFonts w:asciiTheme="minorHAnsi" w:hAnsiTheme="minorHAnsi"/>
                <w:b/>
              </w:rPr>
              <w:t>Weekly Karate Sessions (KS2)</w:t>
            </w:r>
          </w:p>
          <w:p w:rsidR="00683F12" w:rsidRPr="00683F12" w:rsidRDefault="00F8309D" w:rsidP="00683F12">
            <w:pPr>
              <w:pStyle w:val="ListParagraph"/>
              <w:numPr>
                <w:ilvl w:val="0"/>
                <w:numId w:val="4"/>
              </w:numPr>
              <w:rPr>
                <w:rFonts w:asciiTheme="minorHAnsi" w:hAnsiTheme="minorHAnsi"/>
                <w:sz w:val="22"/>
                <w:szCs w:val="22"/>
              </w:rPr>
            </w:pPr>
            <w:r>
              <w:rPr>
                <w:rFonts w:asciiTheme="minorHAnsi" w:hAnsiTheme="minorHAnsi"/>
                <w:sz w:val="22"/>
                <w:szCs w:val="22"/>
              </w:rPr>
              <w:t>For KS</w:t>
            </w:r>
            <w:r w:rsidR="00683F12">
              <w:rPr>
                <w:rFonts w:asciiTheme="minorHAnsi" w:hAnsiTheme="minorHAnsi"/>
                <w:sz w:val="22"/>
                <w:szCs w:val="22"/>
              </w:rPr>
              <w:t>2 pupils to engage in weekly karate sessions from Little Dragons.</w:t>
            </w:r>
          </w:p>
          <w:p w:rsidR="004E5AD1" w:rsidRPr="00BD29BA" w:rsidRDefault="004E5AD1" w:rsidP="004E5AD1">
            <w:pPr>
              <w:rPr>
                <w:rFonts w:asciiTheme="minorHAnsi" w:hAnsiTheme="minorHAnsi"/>
                <w:sz w:val="22"/>
                <w:szCs w:val="22"/>
              </w:rPr>
            </w:pPr>
          </w:p>
          <w:p w:rsidR="00A0753B" w:rsidRPr="00E11E26" w:rsidRDefault="004E6976" w:rsidP="004953A0">
            <w:pPr>
              <w:rPr>
                <w:rFonts w:asciiTheme="minorHAnsi" w:hAnsiTheme="minorHAnsi"/>
                <w:b/>
              </w:rPr>
            </w:pPr>
            <w:r w:rsidRPr="00E11E26">
              <w:rPr>
                <w:rFonts w:asciiTheme="minorHAnsi" w:hAnsiTheme="minorHAnsi"/>
                <w:b/>
              </w:rPr>
              <w:lastRenderedPageBreak/>
              <w:t xml:space="preserve">New Equipment / Resources </w:t>
            </w:r>
          </w:p>
          <w:p w:rsidR="006E3DEA" w:rsidRPr="00AE0DAF" w:rsidRDefault="006E3DEA" w:rsidP="006E3DEA">
            <w:pPr>
              <w:pStyle w:val="ListParagraph"/>
              <w:numPr>
                <w:ilvl w:val="0"/>
                <w:numId w:val="3"/>
              </w:numPr>
              <w:rPr>
                <w:rFonts w:asciiTheme="minorHAnsi" w:hAnsiTheme="minorHAnsi"/>
                <w:b/>
                <w:sz w:val="22"/>
                <w:szCs w:val="22"/>
              </w:rPr>
            </w:pPr>
            <w:r w:rsidRPr="00E11E26">
              <w:rPr>
                <w:rFonts w:asciiTheme="minorHAnsi" w:hAnsiTheme="minorHAnsi"/>
                <w:sz w:val="22"/>
                <w:szCs w:val="22"/>
              </w:rPr>
              <w:t>To improve / increase equipment in school available for curriculum</w:t>
            </w:r>
            <w:r w:rsidR="00566789" w:rsidRPr="00E11E26">
              <w:rPr>
                <w:rFonts w:asciiTheme="minorHAnsi" w:hAnsiTheme="minorHAnsi"/>
                <w:sz w:val="22"/>
                <w:szCs w:val="22"/>
              </w:rPr>
              <w:t>, playground sports</w:t>
            </w:r>
            <w:r w:rsidRPr="00E11E26">
              <w:rPr>
                <w:rFonts w:asciiTheme="minorHAnsi" w:hAnsiTheme="minorHAnsi"/>
                <w:sz w:val="22"/>
                <w:szCs w:val="22"/>
              </w:rPr>
              <w:t xml:space="preserve"> and extended </w:t>
            </w:r>
            <w:r w:rsidR="00DB287B" w:rsidRPr="00E11E26">
              <w:rPr>
                <w:rFonts w:asciiTheme="minorHAnsi" w:hAnsiTheme="minorHAnsi"/>
                <w:sz w:val="22"/>
                <w:szCs w:val="22"/>
              </w:rPr>
              <w:t>school’s</w:t>
            </w:r>
            <w:r w:rsidRPr="00E11E26">
              <w:rPr>
                <w:rFonts w:asciiTheme="minorHAnsi" w:hAnsiTheme="minorHAnsi"/>
                <w:sz w:val="22"/>
                <w:szCs w:val="22"/>
              </w:rPr>
              <w:t xml:space="preserve"> activities</w:t>
            </w:r>
          </w:p>
          <w:p w:rsidR="00AE0DAF" w:rsidRDefault="00AE0DAF" w:rsidP="00AE0DAF">
            <w:pPr>
              <w:rPr>
                <w:rFonts w:asciiTheme="minorHAnsi" w:hAnsiTheme="minorHAnsi"/>
                <w:b/>
                <w:sz w:val="22"/>
                <w:szCs w:val="22"/>
              </w:rPr>
            </w:pPr>
          </w:p>
          <w:p w:rsidR="00AE0DAF" w:rsidRDefault="00AE0DAF" w:rsidP="00AE0DAF">
            <w:pPr>
              <w:rPr>
                <w:rFonts w:asciiTheme="minorHAnsi" w:hAnsiTheme="minorHAnsi"/>
                <w:b/>
                <w:szCs w:val="22"/>
              </w:rPr>
            </w:pPr>
            <w:r w:rsidRPr="00AE0DAF">
              <w:rPr>
                <w:rFonts w:asciiTheme="minorHAnsi" w:hAnsiTheme="minorHAnsi"/>
                <w:b/>
                <w:szCs w:val="22"/>
              </w:rPr>
              <w:t>Everton in the Community (KS1/2)</w:t>
            </w:r>
          </w:p>
          <w:p w:rsidR="00AE0DAF" w:rsidRDefault="00AE0DAF" w:rsidP="00AE0DAF">
            <w:pPr>
              <w:pStyle w:val="ListParagraph"/>
              <w:numPr>
                <w:ilvl w:val="0"/>
                <w:numId w:val="3"/>
              </w:numPr>
              <w:rPr>
                <w:rFonts w:asciiTheme="minorHAnsi" w:hAnsiTheme="minorHAnsi"/>
                <w:sz w:val="22"/>
                <w:szCs w:val="22"/>
              </w:rPr>
            </w:pPr>
            <w:r w:rsidRPr="00AE0DAF">
              <w:rPr>
                <w:rFonts w:asciiTheme="minorHAnsi" w:hAnsiTheme="minorHAnsi"/>
                <w:sz w:val="22"/>
                <w:szCs w:val="22"/>
              </w:rPr>
              <w:t>For pupils to engage in range of activities to foster physical development alongside broader skills of engagement, cooperation, turn-taking etc.</w:t>
            </w:r>
          </w:p>
          <w:p w:rsidR="00AE0DAF" w:rsidRPr="00AE0DAF" w:rsidRDefault="00AE0DAF" w:rsidP="00AE0DAF">
            <w:pPr>
              <w:pStyle w:val="ListParagraph"/>
              <w:numPr>
                <w:ilvl w:val="0"/>
                <w:numId w:val="3"/>
              </w:numPr>
              <w:rPr>
                <w:rFonts w:asciiTheme="minorHAnsi" w:hAnsiTheme="minorHAnsi"/>
                <w:sz w:val="22"/>
                <w:szCs w:val="22"/>
              </w:rPr>
            </w:pPr>
            <w:r>
              <w:rPr>
                <w:rFonts w:asciiTheme="minorHAnsi" w:hAnsiTheme="minorHAnsi"/>
                <w:sz w:val="22"/>
                <w:szCs w:val="22"/>
              </w:rPr>
              <w:t xml:space="preserve">Pupils to engage in </w:t>
            </w:r>
            <w:r w:rsidR="0037032A">
              <w:rPr>
                <w:rFonts w:asciiTheme="minorHAnsi" w:hAnsiTheme="minorHAnsi"/>
                <w:sz w:val="22"/>
                <w:szCs w:val="22"/>
              </w:rPr>
              <w:t>school events alongside pupils from across Merseyside Special Schools Consortium.</w:t>
            </w:r>
          </w:p>
          <w:p w:rsidR="00AE0DAF" w:rsidRPr="00AE0DAF" w:rsidRDefault="00AE0DAF" w:rsidP="00AE0DAF">
            <w:pPr>
              <w:pStyle w:val="ListParagraph"/>
              <w:numPr>
                <w:ilvl w:val="0"/>
                <w:numId w:val="3"/>
              </w:numPr>
              <w:rPr>
                <w:rFonts w:asciiTheme="minorHAnsi" w:hAnsiTheme="minorHAnsi"/>
                <w:sz w:val="22"/>
                <w:szCs w:val="22"/>
              </w:rPr>
            </w:pPr>
            <w:r w:rsidRPr="00AE0DAF">
              <w:rPr>
                <w:rFonts w:asciiTheme="minorHAnsi" w:hAnsiTheme="minorHAnsi"/>
                <w:sz w:val="22"/>
                <w:szCs w:val="22"/>
              </w:rPr>
              <w:t xml:space="preserve">After school activities with parents to be run </w:t>
            </w:r>
            <w:r>
              <w:rPr>
                <w:rFonts w:asciiTheme="minorHAnsi" w:hAnsiTheme="minorHAnsi"/>
                <w:sz w:val="22"/>
                <w:szCs w:val="22"/>
              </w:rPr>
              <w:t>for 1 term.</w:t>
            </w:r>
          </w:p>
          <w:p w:rsidR="00DB287B" w:rsidRDefault="00DB287B" w:rsidP="00DB287B">
            <w:pPr>
              <w:rPr>
                <w:rFonts w:asciiTheme="minorHAnsi" w:hAnsiTheme="minorHAnsi"/>
                <w:b/>
                <w:sz w:val="22"/>
                <w:szCs w:val="22"/>
              </w:rPr>
            </w:pPr>
          </w:p>
          <w:p w:rsidR="00DB287B" w:rsidRDefault="00DB287B" w:rsidP="00DB287B">
            <w:pPr>
              <w:rPr>
                <w:rFonts w:asciiTheme="minorHAnsi" w:hAnsiTheme="minorHAnsi"/>
                <w:b/>
              </w:rPr>
            </w:pPr>
            <w:r w:rsidRPr="00DB287B">
              <w:rPr>
                <w:rFonts w:asciiTheme="minorHAnsi" w:hAnsiTheme="minorHAnsi"/>
                <w:b/>
              </w:rPr>
              <w:t>Whole School PE theme days</w:t>
            </w:r>
          </w:p>
          <w:p w:rsidR="00DB287B" w:rsidRDefault="00DB287B" w:rsidP="00DB287B">
            <w:pPr>
              <w:pStyle w:val="ListParagraph"/>
              <w:numPr>
                <w:ilvl w:val="0"/>
                <w:numId w:val="3"/>
              </w:numPr>
              <w:rPr>
                <w:rFonts w:asciiTheme="minorHAnsi" w:hAnsiTheme="minorHAnsi"/>
                <w:sz w:val="22"/>
                <w:szCs w:val="22"/>
              </w:rPr>
            </w:pPr>
            <w:r w:rsidRPr="00DB287B">
              <w:rPr>
                <w:rFonts w:asciiTheme="minorHAnsi" w:hAnsiTheme="minorHAnsi"/>
                <w:sz w:val="22"/>
                <w:szCs w:val="22"/>
              </w:rPr>
              <w:t>Whole school</w:t>
            </w:r>
            <w:r>
              <w:rPr>
                <w:rFonts w:asciiTheme="minorHAnsi" w:hAnsiTheme="minorHAnsi"/>
                <w:sz w:val="22"/>
                <w:szCs w:val="22"/>
              </w:rPr>
              <w:t xml:space="preserve"> sports themed days led by an external sports company which will involve all pupils being involved in sports that they have not tried before.</w:t>
            </w:r>
          </w:p>
          <w:p w:rsidR="00401E68" w:rsidRDefault="00401E68" w:rsidP="00DB287B">
            <w:pPr>
              <w:pStyle w:val="ListParagraph"/>
              <w:numPr>
                <w:ilvl w:val="0"/>
                <w:numId w:val="3"/>
              </w:numPr>
              <w:rPr>
                <w:rFonts w:asciiTheme="minorHAnsi" w:hAnsiTheme="minorHAnsi"/>
                <w:sz w:val="22"/>
                <w:szCs w:val="22"/>
              </w:rPr>
            </w:pPr>
            <w:r>
              <w:rPr>
                <w:rFonts w:asciiTheme="minorHAnsi" w:hAnsiTheme="minorHAnsi"/>
                <w:sz w:val="22"/>
                <w:szCs w:val="22"/>
              </w:rPr>
              <w:t>To celebrate and raise awareness of disability sport.</w:t>
            </w:r>
          </w:p>
          <w:p w:rsidR="004E5AD1" w:rsidRPr="00AF5F2C" w:rsidRDefault="00401E68" w:rsidP="004953A0">
            <w:pPr>
              <w:pStyle w:val="ListParagraph"/>
              <w:numPr>
                <w:ilvl w:val="0"/>
                <w:numId w:val="3"/>
              </w:numPr>
              <w:rPr>
                <w:rFonts w:asciiTheme="minorHAnsi" w:hAnsiTheme="minorHAnsi"/>
                <w:sz w:val="22"/>
                <w:szCs w:val="22"/>
              </w:rPr>
            </w:pPr>
            <w:r>
              <w:rPr>
                <w:rFonts w:asciiTheme="minorHAnsi" w:hAnsiTheme="minorHAnsi"/>
                <w:sz w:val="22"/>
                <w:szCs w:val="22"/>
              </w:rPr>
              <w:t>To explore with families the sporting opportunities available locally</w:t>
            </w:r>
          </w:p>
        </w:tc>
      </w:tr>
    </w:tbl>
    <w:p w:rsidR="00A0753B" w:rsidRPr="00E11E26" w:rsidRDefault="00A0753B" w:rsidP="0010443B">
      <w:pPr>
        <w:rPr>
          <w:rFonts w:asciiTheme="minorHAnsi" w:hAnsiTheme="minorHAnsi"/>
          <w:b/>
          <w:color w:val="FF0000"/>
        </w:rPr>
      </w:pPr>
    </w:p>
    <w:sectPr w:rsidR="00A0753B" w:rsidRPr="00E11E26" w:rsidSect="00A02EBF">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1E5" w:rsidRDefault="009731E5" w:rsidP="008A115A">
      <w:r>
        <w:separator/>
      </w:r>
    </w:p>
  </w:endnote>
  <w:endnote w:type="continuationSeparator" w:id="0">
    <w:p w:rsidR="009731E5" w:rsidRDefault="009731E5" w:rsidP="008A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412637"/>
      <w:docPartObj>
        <w:docPartGallery w:val="Page Numbers (Bottom of Page)"/>
        <w:docPartUnique/>
      </w:docPartObj>
    </w:sdtPr>
    <w:sdtEndPr>
      <w:rPr>
        <w:color w:val="7F7F7F" w:themeColor="background1" w:themeShade="7F"/>
        <w:spacing w:val="60"/>
      </w:rPr>
    </w:sdtEndPr>
    <w:sdtContent>
      <w:p w:rsidR="00F31FCB" w:rsidRDefault="00F31FC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21B60" w:rsidRPr="00421B60">
          <w:rPr>
            <w:b/>
            <w:bCs/>
            <w:noProof/>
          </w:rPr>
          <w:t>2</w:t>
        </w:r>
        <w:r>
          <w:rPr>
            <w:b/>
            <w:bCs/>
            <w:noProof/>
          </w:rPr>
          <w:fldChar w:fldCharType="end"/>
        </w:r>
        <w:r>
          <w:rPr>
            <w:b/>
            <w:bCs/>
          </w:rPr>
          <w:t xml:space="preserve"> | </w:t>
        </w:r>
        <w:r>
          <w:rPr>
            <w:color w:val="7F7F7F" w:themeColor="background1" w:themeShade="7F"/>
            <w:spacing w:val="60"/>
          </w:rPr>
          <w:t>Page</w:t>
        </w:r>
      </w:p>
    </w:sdtContent>
  </w:sdt>
  <w:p w:rsidR="008A115A" w:rsidRDefault="008A1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1E5" w:rsidRDefault="009731E5" w:rsidP="008A115A">
      <w:r>
        <w:separator/>
      </w:r>
    </w:p>
  </w:footnote>
  <w:footnote w:type="continuationSeparator" w:id="0">
    <w:p w:rsidR="009731E5" w:rsidRDefault="009731E5" w:rsidP="008A1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D45F0"/>
    <w:multiLevelType w:val="hybridMultilevel"/>
    <w:tmpl w:val="024C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D7E9B"/>
    <w:multiLevelType w:val="hybridMultilevel"/>
    <w:tmpl w:val="45ECE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54735"/>
    <w:multiLevelType w:val="hybridMultilevel"/>
    <w:tmpl w:val="20CC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96DB7"/>
    <w:multiLevelType w:val="hybridMultilevel"/>
    <w:tmpl w:val="50E4B402"/>
    <w:lvl w:ilvl="0" w:tplc="73D4FE1A">
      <w:start w:val="2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3B"/>
    <w:rsid w:val="00024A18"/>
    <w:rsid w:val="00043CE4"/>
    <w:rsid w:val="00066BB8"/>
    <w:rsid w:val="000A2C7B"/>
    <w:rsid w:val="000C74E1"/>
    <w:rsid w:val="001043E8"/>
    <w:rsid w:val="0010443B"/>
    <w:rsid w:val="0010552A"/>
    <w:rsid w:val="0011393B"/>
    <w:rsid w:val="001270A4"/>
    <w:rsid w:val="00146B70"/>
    <w:rsid w:val="001F24D9"/>
    <w:rsid w:val="00211D3E"/>
    <w:rsid w:val="002254C5"/>
    <w:rsid w:val="00257E14"/>
    <w:rsid w:val="0026000C"/>
    <w:rsid w:val="00276D70"/>
    <w:rsid w:val="0028536A"/>
    <w:rsid w:val="00287CB8"/>
    <w:rsid w:val="002E2724"/>
    <w:rsid w:val="002F1444"/>
    <w:rsid w:val="002F4D05"/>
    <w:rsid w:val="00310516"/>
    <w:rsid w:val="003328BA"/>
    <w:rsid w:val="003673D3"/>
    <w:rsid w:val="0037032A"/>
    <w:rsid w:val="00373EE7"/>
    <w:rsid w:val="00391B02"/>
    <w:rsid w:val="003A0184"/>
    <w:rsid w:val="003D1C23"/>
    <w:rsid w:val="003E264B"/>
    <w:rsid w:val="003F0A21"/>
    <w:rsid w:val="00401E68"/>
    <w:rsid w:val="004027F2"/>
    <w:rsid w:val="00421B60"/>
    <w:rsid w:val="00453AAA"/>
    <w:rsid w:val="00483E61"/>
    <w:rsid w:val="004E5AD1"/>
    <w:rsid w:val="004E6976"/>
    <w:rsid w:val="004F3501"/>
    <w:rsid w:val="00560475"/>
    <w:rsid w:val="00566789"/>
    <w:rsid w:val="005B6E56"/>
    <w:rsid w:val="005D642F"/>
    <w:rsid w:val="0063250A"/>
    <w:rsid w:val="00683F12"/>
    <w:rsid w:val="00686C0A"/>
    <w:rsid w:val="006E110C"/>
    <w:rsid w:val="006E3DEA"/>
    <w:rsid w:val="006F2ECF"/>
    <w:rsid w:val="006F4640"/>
    <w:rsid w:val="00712FE6"/>
    <w:rsid w:val="0076271E"/>
    <w:rsid w:val="00795F5B"/>
    <w:rsid w:val="00867F26"/>
    <w:rsid w:val="00884A0F"/>
    <w:rsid w:val="008A115A"/>
    <w:rsid w:val="008B64AF"/>
    <w:rsid w:val="008D6381"/>
    <w:rsid w:val="00910781"/>
    <w:rsid w:val="009167FA"/>
    <w:rsid w:val="00930732"/>
    <w:rsid w:val="009513DD"/>
    <w:rsid w:val="009731E5"/>
    <w:rsid w:val="00A02EBF"/>
    <w:rsid w:val="00A0753B"/>
    <w:rsid w:val="00A34EA0"/>
    <w:rsid w:val="00A358B3"/>
    <w:rsid w:val="00A8065A"/>
    <w:rsid w:val="00A82945"/>
    <w:rsid w:val="00AA4FCD"/>
    <w:rsid w:val="00AE0DAF"/>
    <w:rsid w:val="00AF5F2C"/>
    <w:rsid w:val="00BB08C0"/>
    <w:rsid w:val="00BB0E23"/>
    <w:rsid w:val="00BB1012"/>
    <w:rsid w:val="00BB5A9F"/>
    <w:rsid w:val="00BC571C"/>
    <w:rsid w:val="00BD29BA"/>
    <w:rsid w:val="00BE1A67"/>
    <w:rsid w:val="00CC4346"/>
    <w:rsid w:val="00D47EA2"/>
    <w:rsid w:val="00D605B9"/>
    <w:rsid w:val="00D6176C"/>
    <w:rsid w:val="00D64654"/>
    <w:rsid w:val="00D73FBC"/>
    <w:rsid w:val="00D957DD"/>
    <w:rsid w:val="00DB287B"/>
    <w:rsid w:val="00DD23DB"/>
    <w:rsid w:val="00DD7772"/>
    <w:rsid w:val="00DF111C"/>
    <w:rsid w:val="00E11E26"/>
    <w:rsid w:val="00E24557"/>
    <w:rsid w:val="00E77FFE"/>
    <w:rsid w:val="00E96E01"/>
    <w:rsid w:val="00EC4505"/>
    <w:rsid w:val="00ED0A46"/>
    <w:rsid w:val="00F31FCB"/>
    <w:rsid w:val="00F8309D"/>
    <w:rsid w:val="00FB00EE"/>
    <w:rsid w:val="00FF3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30287"/>
  <w15:docId w15:val="{1685189C-10DA-402F-AA0D-D1E4DEAC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E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75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8BA"/>
    <w:rPr>
      <w:rFonts w:ascii="Tahoma" w:hAnsi="Tahoma" w:cs="Tahoma"/>
      <w:sz w:val="16"/>
      <w:szCs w:val="16"/>
    </w:rPr>
  </w:style>
  <w:style w:type="character" w:customStyle="1" w:styleId="BalloonTextChar">
    <w:name w:val="Balloon Text Char"/>
    <w:basedOn w:val="DefaultParagraphFont"/>
    <w:link w:val="BalloonText"/>
    <w:uiPriority w:val="99"/>
    <w:semiHidden/>
    <w:rsid w:val="003328BA"/>
    <w:rPr>
      <w:rFonts w:ascii="Tahoma" w:eastAsia="Times New Roman" w:hAnsi="Tahoma" w:cs="Tahoma"/>
      <w:sz w:val="16"/>
      <w:szCs w:val="16"/>
      <w:lang w:val="en-US"/>
    </w:rPr>
  </w:style>
  <w:style w:type="paragraph" w:styleId="ListParagraph">
    <w:name w:val="List Paragraph"/>
    <w:basedOn w:val="Normal"/>
    <w:uiPriority w:val="34"/>
    <w:qFormat/>
    <w:rsid w:val="00D957DD"/>
    <w:pPr>
      <w:ind w:left="720"/>
      <w:contextualSpacing/>
    </w:pPr>
  </w:style>
  <w:style w:type="paragraph" w:styleId="NormalWeb">
    <w:name w:val="Normal (Web)"/>
    <w:basedOn w:val="Normal"/>
    <w:uiPriority w:val="99"/>
    <w:unhideWhenUsed/>
    <w:rsid w:val="00DB287B"/>
    <w:pPr>
      <w:spacing w:before="100" w:beforeAutospacing="1" w:after="100" w:afterAutospacing="1"/>
    </w:pPr>
    <w:rPr>
      <w:lang w:val="en-GB" w:eastAsia="en-GB"/>
    </w:rPr>
  </w:style>
  <w:style w:type="paragraph" w:styleId="Header">
    <w:name w:val="header"/>
    <w:basedOn w:val="Normal"/>
    <w:link w:val="HeaderChar"/>
    <w:uiPriority w:val="99"/>
    <w:unhideWhenUsed/>
    <w:rsid w:val="008A115A"/>
    <w:pPr>
      <w:tabs>
        <w:tab w:val="center" w:pos="4513"/>
        <w:tab w:val="right" w:pos="9026"/>
      </w:tabs>
    </w:pPr>
  </w:style>
  <w:style w:type="character" w:customStyle="1" w:styleId="HeaderChar">
    <w:name w:val="Header Char"/>
    <w:basedOn w:val="DefaultParagraphFont"/>
    <w:link w:val="Header"/>
    <w:uiPriority w:val="99"/>
    <w:rsid w:val="008A115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A115A"/>
    <w:pPr>
      <w:tabs>
        <w:tab w:val="center" w:pos="4513"/>
        <w:tab w:val="right" w:pos="9026"/>
      </w:tabs>
    </w:pPr>
  </w:style>
  <w:style w:type="character" w:customStyle="1" w:styleId="FooterChar">
    <w:name w:val="Footer Char"/>
    <w:basedOn w:val="DefaultParagraphFont"/>
    <w:link w:val="Footer"/>
    <w:uiPriority w:val="99"/>
    <w:rsid w:val="008A115A"/>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04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689">
      <w:bodyDiv w:val="1"/>
      <w:marLeft w:val="0"/>
      <w:marRight w:val="0"/>
      <w:marTop w:val="0"/>
      <w:marBottom w:val="0"/>
      <w:divBdr>
        <w:top w:val="none" w:sz="0" w:space="0" w:color="auto"/>
        <w:left w:val="none" w:sz="0" w:space="0" w:color="auto"/>
        <w:bottom w:val="none" w:sz="0" w:space="0" w:color="auto"/>
        <w:right w:val="none" w:sz="0" w:space="0" w:color="auto"/>
      </w:divBdr>
    </w:div>
    <w:div w:id="1130053528">
      <w:bodyDiv w:val="1"/>
      <w:marLeft w:val="0"/>
      <w:marRight w:val="0"/>
      <w:marTop w:val="0"/>
      <w:marBottom w:val="0"/>
      <w:divBdr>
        <w:top w:val="none" w:sz="0" w:space="0" w:color="auto"/>
        <w:left w:val="none" w:sz="0" w:space="0" w:color="auto"/>
        <w:bottom w:val="none" w:sz="0" w:space="0" w:color="auto"/>
        <w:right w:val="none" w:sz="0" w:space="0" w:color="auto"/>
      </w:divBdr>
    </w:div>
    <w:div w:id="1200431983">
      <w:bodyDiv w:val="1"/>
      <w:marLeft w:val="0"/>
      <w:marRight w:val="0"/>
      <w:marTop w:val="0"/>
      <w:marBottom w:val="0"/>
      <w:divBdr>
        <w:top w:val="none" w:sz="0" w:space="0" w:color="auto"/>
        <w:left w:val="none" w:sz="0" w:space="0" w:color="auto"/>
        <w:bottom w:val="none" w:sz="0" w:space="0" w:color="auto"/>
        <w:right w:val="none" w:sz="0" w:space="0" w:color="auto"/>
      </w:divBdr>
    </w:div>
    <w:div w:id="16523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education-inspection-framework" TargetMode="External"/><Relationship Id="rId4" Type="http://schemas.openxmlformats.org/officeDocument/2006/relationships/settings" Target="settings.xml"/><Relationship Id="rId9" Type="http://schemas.openxmlformats.org/officeDocument/2006/relationships/hyperlink" Target="https://www.gov.uk/government/publications/primary-pe-and-sport-premium-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613E2-7EBA-40F7-8BC9-F37F2F2B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6919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Ainsworth</dc:creator>
  <cp:lastModifiedBy>Brookfields - Head</cp:lastModifiedBy>
  <cp:revision>2</cp:revision>
  <cp:lastPrinted>2017-05-18T09:12:00Z</cp:lastPrinted>
  <dcterms:created xsi:type="dcterms:W3CDTF">2020-10-13T14:33:00Z</dcterms:created>
  <dcterms:modified xsi:type="dcterms:W3CDTF">2020-10-13T14:33:00Z</dcterms:modified>
</cp:coreProperties>
</file>